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color w:val="auto"/>
          <w:sz w:val="48"/>
          <w:szCs w:val="48"/>
          <w:highlight w:val="none"/>
        </w:rPr>
      </w:pPr>
      <w:r>
        <w:rPr>
          <w:color w:val="auto"/>
          <w:sz w:val="48"/>
          <w:highlight w:val="none"/>
        </w:rPr>
      </w:r>
      <w:r/>
    </w:p>
    <w:p>
      <w:pPr>
        <w:rPr>
          <w:rFonts w:ascii="宋体" w:hAnsi="宋体"/>
          <w:b/>
          <w:color w:val="auto"/>
          <w:sz w:val="48"/>
          <w:szCs w:val="48"/>
          <w:highlight w:val="none"/>
        </w:rPr>
      </w:pPr>
      <w:r>
        <w:rPr>
          <w:rFonts w:ascii="宋体" w:hAnsi="宋体"/>
          <w:b/>
          <w:color w:val="auto"/>
          <w:sz w:val="48"/>
          <w:szCs w:val="48"/>
          <w:highlight w:val="none"/>
        </w:rPr>
      </w:r>
      <w:r/>
    </w:p>
    <w:p>
      <w:pPr>
        <w:jc w:val="center"/>
        <w:rPr>
          <w:rFonts w:ascii="华文新魏" w:hAnsi="华文新魏" w:eastAsia="华文新魏" w:cs="华文新魏"/>
          <w:b/>
          <w:color w:val="auto"/>
          <w:spacing w:val="113"/>
          <w:sz w:val="116"/>
          <w:szCs w:val="72"/>
          <w:highlight w:val="none"/>
        </w:rPr>
      </w:pPr>
      <w:r>
        <w:rPr>
          <w:rFonts w:hint="eastAsia" w:ascii="华文新魏" w:hAnsi="华文新魏" w:eastAsia="华文新魏" w:cs="华文新魏"/>
          <w:b/>
          <w:color w:val="auto"/>
          <w:spacing w:val="113"/>
          <w:sz w:val="116"/>
          <w:szCs w:val="72"/>
          <w:highlight w:val="none"/>
        </w:rPr>
        <w:t xml:space="preserve">竞争性谈判</w:t>
      </w:r>
      <w:r/>
    </w:p>
    <w:p>
      <w:pPr>
        <w:jc w:val="center"/>
        <w:rPr>
          <w:rFonts w:ascii="华文新魏" w:hAnsi="华文新魏" w:eastAsia="华文新魏" w:cs="华文新魏"/>
          <w:b/>
          <w:color w:val="auto"/>
          <w:spacing w:val="113"/>
          <w:sz w:val="144"/>
          <w:szCs w:val="72"/>
          <w:highlight w:val="none"/>
        </w:rPr>
      </w:pPr>
      <w:r>
        <w:rPr>
          <w:rFonts w:hint="eastAsia" w:ascii="华文新魏" w:hAnsi="华文新魏" w:eastAsia="华文新魏" w:cs="华文新魏"/>
          <w:b/>
          <w:color w:val="auto"/>
          <w:spacing w:val="113"/>
          <w:sz w:val="116"/>
          <w:szCs w:val="72"/>
          <w:highlight w:val="none"/>
        </w:rPr>
        <w:t xml:space="preserve">采购文件</w:t>
      </w:r>
      <w:r/>
    </w:p>
    <w:p>
      <w:pPr>
        <w:ind w:firstLine="4579"/>
        <w:rPr>
          <w:rFonts w:ascii="宋体" w:hAnsi="宋体"/>
          <w:bCs/>
          <w:color w:val="auto"/>
          <w:sz w:val="72"/>
          <w:szCs w:val="72"/>
          <w:highlight w:val="none"/>
        </w:rPr>
      </w:pPr>
      <w:r>
        <w:rPr>
          <w:rFonts w:ascii="宋体" w:hAnsi="宋体"/>
          <w:bCs/>
          <w:color w:val="auto"/>
          <w:sz w:val="72"/>
          <w:szCs w:val="72"/>
          <w:highlight w:val="none"/>
        </w:rPr>
      </w:r>
      <w:r/>
    </w:p>
    <w:p>
      <w:pPr>
        <w:ind w:firstLine="2528"/>
        <w:spacing w:line="360" w:lineRule="auto"/>
        <w:rPr>
          <w:rFonts w:ascii="宋体" w:hAnsi="宋体"/>
          <w:b/>
          <w:color w:val="auto"/>
          <w:sz w:val="32"/>
          <w:szCs w:val="32"/>
          <w:highlight w:val="none"/>
        </w:rPr>
      </w:pPr>
      <w:r>
        <w:rPr>
          <w:rFonts w:ascii="宋体" w:hAnsi="宋体"/>
          <w:b/>
          <w:color w:val="auto"/>
          <w:sz w:val="32"/>
          <w:szCs w:val="32"/>
          <w:highlight w:val="none"/>
        </w:rPr>
      </w:r>
      <w:r/>
    </w:p>
    <w:p>
      <w:pPr>
        <w:ind w:firstLine="2107"/>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采购编号：</w:t>
      </w:r>
      <w:r>
        <w:rPr>
          <w:rFonts w:hint="eastAsia" w:ascii="宋体" w:hAnsi="宋体"/>
          <w:b/>
          <w:color w:val="auto"/>
          <w:sz w:val="32"/>
          <w:szCs w:val="32"/>
          <w:highlight w:val="none"/>
          <w:lang w:eastAsia="zh-CN"/>
        </w:rPr>
        <w:t xml:space="preserve">JSZC-320506-SZYX-T2025-0079</w:t>
      </w:r>
      <w:r/>
    </w:p>
    <w:p>
      <w:pPr>
        <w:ind w:firstLine="2107"/>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采购单位：</w:t>
      </w:r>
      <w:r>
        <w:rPr>
          <w:rFonts w:hint="eastAsia" w:ascii="宋体" w:hAnsi="宋体"/>
          <w:b/>
          <w:color w:val="auto"/>
          <w:sz w:val="32"/>
          <w:szCs w:val="32"/>
          <w:highlight w:val="none"/>
          <w:lang w:eastAsia="zh-CN"/>
        </w:rPr>
        <w:t xml:space="preserve">苏州市吴中生态环境局</w:t>
      </w:r>
      <w:r/>
    </w:p>
    <w:p>
      <w:pPr>
        <w:ind w:firstLine="2107"/>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采购内容：</w:t>
      </w:r>
      <w:r>
        <w:rPr>
          <w:rFonts w:hint="eastAsia" w:ascii="宋体" w:hAnsi="宋体"/>
          <w:b/>
          <w:color w:val="auto"/>
          <w:sz w:val="30"/>
          <w:highlight w:val="none"/>
          <w:lang w:eastAsia="zh-CN"/>
        </w:rPr>
        <w:t xml:space="preserve">应急溯源监测设备采购</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color w:val="auto"/>
          <w:sz w:val="28"/>
          <w:szCs w:val="28"/>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2009775" cy="1828800"/>
                <wp:effectExtent l="0" t="0" r="9525"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5"/>
                        <a:stretch/>
                      </pic:blipFill>
                      <pic:spPr bwMode="auto">
                        <a:xfrm>
                          <a:off x="0" y="0"/>
                          <a:ext cx="2009775" cy="182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8.2pt;height:144.0pt;mso-wrap-distance-left:0.0pt;mso-wrap-distance-top:0.0pt;mso-wrap-distance-right:0.0pt;mso-wrap-distance-bottom:0.0pt;" stroked="f">
                <v:path textboxrect="0,0,0,0"/>
                <v:imagedata r:id="rId15" o:title=""/>
              </v:shape>
            </w:pict>
          </mc:Fallback>
        </mc:AlternateContent>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b/>
          <w:color w:val="auto"/>
          <w:sz w:val="32"/>
          <w:szCs w:val="28"/>
          <w:highlight w:val="none"/>
        </w:rPr>
      </w:pPr>
      <w:r>
        <w:rPr>
          <w:rFonts w:hint="eastAsia" w:ascii="宋体" w:hAnsi="宋体"/>
          <w:b/>
          <w:color w:val="auto"/>
          <w:sz w:val="32"/>
          <w:szCs w:val="28"/>
          <w:highlight w:val="none"/>
        </w:rPr>
        <w:t xml:space="preserve">苏州市原鑫招投标咨询服务有限公司</w:t>
      </w:r>
      <w:r/>
    </w:p>
    <w:p>
      <w:pPr>
        <w:jc w:val="center"/>
        <w:rPr>
          <w:rFonts w:ascii="宋体" w:hAnsi="宋体"/>
          <w:b/>
          <w:color w:val="auto"/>
          <w:sz w:val="32"/>
          <w:szCs w:val="28"/>
          <w:highlight w:val="none"/>
        </w:rPr>
      </w:pPr>
      <w:r>
        <w:rPr>
          <w:rFonts w:hint="eastAsia" w:ascii="宋体" w:hAnsi="宋体"/>
          <w:b/>
          <w:color w:val="auto"/>
          <w:sz w:val="32"/>
          <w:szCs w:val="28"/>
          <w:highlight w:val="none"/>
        </w:rPr>
        <w:t xml:space="preserve">2025年</w:t>
      </w:r>
      <w:r>
        <w:rPr>
          <w:rFonts w:hint="eastAsia" w:ascii="宋体" w:hAnsi="宋体"/>
          <w:b/>
          <w:color w:val="auto"/>
          <w:sz w:val="32"/>
          <w:szCs w:val="28"/>
          <w:highlight w:val="none"/>
          <w:lang w:val="en-US" w:eastAsia="zh-CN"/>
        </w:rPr>
        <w:t xml:space="preserve">12</w:t>
      </w:r>
      <w:r>
        <w:rPr>
          <w:rFonts w:hint="eastAsia" w:ascii="宋体" w:hAnsi="宋体"/>
          <w:b/>
          <w:color w:val="auto"/>
          <w:sz w:val="32"/>
          <w:szCs w:val="28"/>
          <w:highlight w:val="none"/>
        </w:rPr>
        <w:t xml:space="preserve">月</w:t>
      </w:r>
      <w:r/>
    </w:p>
    <w:p>
      <w:pPr>
        <w:shd w:val="nil" w:color="auto"/>
        <w:rPr>
          <w:rFonts w:ascii="宋体" w:hAnsi="宋体"/>
          <w:b/>
          <w:bCs/>
          <w:color w:val="auto"/>
          <w:sz w:val="32"/>
          <w:szCs w:val="32"/>
          <w:highlight w:val="none"/>
        </w:rPr>
        <w:outlineLvl w:val="0"/>
      </w:pPr>
      <w:r>
        <w:rPr>
          <w:rFonts w:hint="eastAsia" w:ascii="宋体" w:hAnsi="宋体"/>
          <w:b/>
          <w:color w:val="auto"/>
          <w:sz w:val="32"/>
          <w:highlight w:val="none"/>
        </w:rPr>
        <w:br w:type="page" w:clear="all"/>
      </w:r>
      <w:r>
        <w:rPr>
          <w:rFonts w:hint="eastAsia" w:ascii="宋体" w:hAnsi="宋体"/>
          <w:b/>
          <w:color w:val="auto"/>
          <w:sz w:val="32"/>
          <w:highlight w:val="none"/>
        </w:rPr>
      </w:r>
      <w:r/>
    </w:p>
    <w:p>
      <w:pPr>
        <w:jc w:val="center"/>
        <w:rPr>
          <w:rFonts w:hint="eastAsia" w:ascii="宋体" w:hAnsi="宋体"/>
          <w:b/>
          <w:bCs/>
          <w:color w:val="auto"/>
          <w:sz w:val="32"/>
          <w:szCs w:val="32"/>
          <w:highlight w:val="none"/>
        </w:rPr>
        <w:outlineLvl w:val="0"/>
      </w:pPr>
      <w:r>
        <w:rPr>
          <w:rFonts w:hint="eastAsia" w:ascii="宋体" w:hAnsi="宋体"/>
          <w:b/>
          <w:color w:val="auto"/>
          <w:sz w:val="32"/>
          <w:highlight w:val="none"/>
        </w:rPr>
        <w:t xml:space="preserve">一、竞争性谈判公告</w:t>
      </w:r>
      <w:r/>
    </w:p>
    <w:tbl>
      <w:tblPr>
        <w:tblStyle w:val="936"/>
        <w:tblW w:w="9705" w:type="dxa"/>
        <w:jc w:val="center"/>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9705"/>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705" w:type="dxa"/>
            <w:textDirection w:val="lrTb"/>
            <w:noWrap w:val="false"/>
          </w:tcPr>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项目概况：</w:t>
            </w:r>
            <w:r/>
          </w:p>
          <w:p>
            <w:pPr>
              <w:ind w:firstLine="420"/>
              <w:jc w:val="left"/>
              <w:spacing w:line="360" w:lineRule="auto"/>
              <w:widowControl/>
              <w:rPr>
                <w:rFonts w:ascii="宋体" w:hAnsi="宋体" w:cs="宋体"/>
                <w:color w:val="auto"/>
                <w:szCs w:val="21"/>
                <w:highlight w:val="none"/>
              </w:rPr>
            </w:pPr>
            <w:r>
              <w:rPr>
                <w:rFonts w:hint="eastAsia" w:ascii="宋体" w:hAnsi="宋体"/>
                <w:color w:val="auto"/>
                <w:szCs w:val="21"/>
                <w:highlight w:val="none"/>
                <w:u w:val="single"/>
                <w:lang w:eastAsia="zh-CN"/>
              </w:rPr>
              <w:t xml:space="preserve">应急溯源监测设备采购</w:t>
            </w:r>
            <w:r>
              <w:rPr>
                <w:rFonts w:ascii="宋体" w:hAnsi="宋体" w:cs="宋体"/>
                <w:color w:val="auto"/>
                <w:szCs w:val="21"/>
                <w:highlight w:val="none"/>
              </w:rPr>
              <w:t xml:space="preserve">的潜在供应商应在</w:t>
            </w:r>
            <w:r>
              <w:rPr>
                <w:rFonts w:hint="eastAsia" w:ascii="宋体" w:hAnsi="宋体" w:cs="宋体"/>
                <w:color w:val="auto"/>
                <w:szCs w:val="21"/>
                <w:highlight w:val="none"/>
                <w:u w:val="single"/>
              </w:rPr>
              <w:t xml:space="preserve">“苏采云”政府采购一体化平台</w:t>
            </w:r>
            <w:r>
              <w:rPr>
                <w:rFonts w:ascii="宋体" w:hAnsi="宋体" w:cs="宋体"/>
                <w:color w:val="auto"/>
                <w:szCs w:val="21"/>
                <w:highlight w:val="none"/>
              </w:rPr>
              <w:t xml:space="preserve">获取</w:t>
            </w:r>
            <w:r>
              <w:rPr>
                <w:rFonts w:hint="eastAsia" w:ascii="宋体" w:hAnsi="宋体" w:cs="宋体"/>
                <w:color w:val="auto"/>
                <w:szCs w:val="21"/>
                <w:highlight w:val="none"/>
              </w:rPr>
              <w:t xml:space="preserve">采购</w:t>
            </w:r>
            <w:r>
              <w:rPr>
                <w:rFonts w:ascii="宋体" w:hAnsi="宋体" w:cs="宋体"/>
                <w:color w:val="auto"/>
                <w:szCs w:val="21"/>
                <w:highlight w:val="none"/>
              </w:rPr>
              <w:t xml:space="preserve">文件，并于</w:t>
            </w:r>
            <w:r>
              <w:rPr>
                <w:rFonts w:hint="eastAsia" w:ascii="宋体" w:hAnsi="宋体" w:cs="宋体"/>
                <w:color w:val="auto"/>
                <w:szCs w:val="21"/>
                <w:highlight w:val="none"/>
                <w:u w:val="single"/>
              </w:rPr>
              <w:t xml:space="preserve">2025年</w:t>
            </w:r>
            <w:r>
              <w:rPr>
                <w:rFonts w:hint="eastAsia" w:ascii="宋体" w:hAnsi="宋体" w:cs="宋体"/>
                <w:color w:val="auto"/>
                <w:szCs w:val="21"/>
                <w:highlight w:val="none"/>
                <w:u w:val="single"/>
                <w:lang w:eastAsia="zh-CN"/>
              </w:rPr>
              <w:t xml:space="preserve">12月</w:t>
            </w:r>
            <w:r>
              <w:rPr>
                <w:rFonts w:hint="eastAsia" w:ascii="宋体" w:hAnsi="宋体" w:cs="宋体"/>
                <w:color w:val="auto"/>
                <w:szCs w:val="21"/>
                <w:highlight w:val="none"/>
                <w:u w:val="single"/>
                <w:lang w:val="en-US" w:eastAsia="zh-CN"/>
              </w:rPr>
              <w:t xml:space="preserve">19</w:t>
            </w:r>
            <w:r>
              <w:rPr>
                <w:rFonts w:hint="eastAsia" w:ascii="宋体" w:hAnsi="宋体" w:cs="宋体"/>
                <w:color w:val="auto"/>
                <w:szCs w:val="21"/>
                <w:highlight w:val="none"/>
                <w:u w:val="single"/>
                <w:lang w:eastAsia="zh-CN"/>
              </w:rPr>
              <w:t xml:space="preserve">日1</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lang w:eastAsia="zh-CN"/>
              </w:rPr>
              <w:t xml:space="preserve">：30</w:t>
            </w:r>
            <w:r>
              <w:rPr>
                <w:rFonts w:ascii="宋体" w:hAnsi="宋体" w:cs="宋体"/>
                <w:color w:val="auto"/>
                <w:szCs w:val="21"/>
                <w:highlight w:val="none"/>
              </w:rPr>
              <w:t xml:space="preserve">（北京时间）前递交</w:t>
            </w:r>
            <w:r>
              <w:rPr>
                <w:rFonts w:hint="eastAsia" w:ascii="宋体" w:hAnsi="宋体" w:cs="宋体"/>
                <w:color w:val="auto"/>
                <w:szCs w:val="21"/>
                <w:highlight w:val="none"/>
              </w:rPr>
              <w:t xml:space="preserve">谈判</w:t>
            </w:r>
            <w:r>
              <w:rPr>
                <w:rFonts w:ascii="宋体" w:hAnsi="宋体" w:cs="宋体"/>
                <w:color w:val="auto"/>
                <w:szCs w:val="21"/>
                <w:highlight w:val="none"/>
              </w:rPr>
              <w:t xml:space="preserve">响应文件。</w:t>
            </w:r>
            <w:r/>
          </w:p>
        </w:tc>
      </w:tr>
    </w:tbl>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苏州市原鑫招投标咨询服务有限公司受</w:t>
      </w:r>
      <w:r>
        <w:rPr>
          <w:rFonts w:hint="eastAsia" w:ascii="宋体" w:hAnsi="宋体"/>
          <w:color w:val="auto"/>
          <w:szCs w:val="21"/>
          <w:highlight w:val="none"/>
          <w:lang w:eastAsia="zh-CN"/>
        </w:rPr>
        <w:t xml:space="preserve">苏州市吴中生态环境局</w:t>
      </w:r>
      <w:r>
        <w:rPr>
          <w:rFonts w:hint="eastAsia" w:ascii="宋体" w:hAnsi="宋体" w:cs="宋体"/>
          <w:color w:val="auto"/>
          <w:szCs w:val="21"/>
          <w:highlight w:val="none"/>
        </w:rPr>
        <w:t xml:space="preserve">的委托，就</w:t>
      </w:r>
      <w:r>
        <w:rPr>
          <w:rFonts w:hint="eastAsia" w:ascii="宋体" w:hAnsi="宋体"/>
          <w:color w:val="auto"/>
          <w:szCs w:val="21"/>
          <w:highlight w:val="none"/>
          <w:lang w:eastAsia="zh-CN"/>
        </w:rPr>
        <w:t xml:space="preserve">应急溯源监测设备采购</w:t>
      </w:r>
      <w:r>
        <w:rPr>
          <w:rFonts w:hint="eastAsia" w:ascii="宋体" w:hAnsi="宋体" w:cs="宋体"/>
          <w:color w:val="auto"/>
          <w:szCs w:val="21"/>
          <w:highlight w:val="none"/>
        </w:rPr>
        <w:t xml:space="preserve">进行竞争性谈判采购，现欢迎符合相关条件的供应商参加响应。</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一、项目基本情况</w:t>
      </w:r>
      <w:r/>
    </w:p>
    <w:p>
      <w:pPr>
        <w:ind w:firstLine="420"/>
        <w:jc w:val="left"/>
        <w:spacing w:line="400" w:lineRule="exact"/>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项目编号：</w:t>
      </w:r>
      <w:r>
        <w:rPr>
          <w:rFonts w:hint="eastAsia" w:ascii="宋体" w:hAnsi="宋体"/>
          <w:color w:val="auto"/>
          <w:szCs w:val="21"/>
          <w:highlight w:val="none"/>
          <w:lang w:eastAsia="zh-CN"/>
        </w:rPr>
        <w:t xml:space="preserve">JSZC-320506-SZYX-T2025-0079</w:t>
      </w:r>
      <w:r/>
    </w:p>
    <w:p>
      <w:pPr>
        <w:ind w:firstLine="420"/>
        <w:jc w:val="left"/>
        <w:spacing w:line="400" w:lineRule="exact"/>
        <w:shd w:val="clear" w:color="auto" w:fill="ffffff"/>
        <w:widowControl/>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项目名称：应急溯源监测设备采购</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采购方式：竞争性谈判</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预算金额：</w:t>
      </w:r>
      <w:r>
        <w:rPr>
          <w:rFonts w:hint="eastAsia" w:ascii="宋体" w:hAnsi="宋体" w:cs="宋体"/>
          <w:bCs/>
          <w:color w:val="auto"/>
          <w:szCs w:val="21"/>
          <w:highlight w:val="none"/>
          <w:lang w:eastAsia="zh-CN"/>
        </w:rPr>
        <w:t xml:space="preserve">人民币伍拾壹万贰仟元整（￥512000.00）</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无</w:t>
      </w:r>
      <w:r/>
    </w:p>
    <w:p>
      <w:pPr>
        <w:ind w:firstLine="420"/>
        <w:jc w:val="left"/>
        <w:spacing w:line="40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采购需求：</w:t>
      </w:r>
      <w:r/>
    </w:p>
    <w:p>
      <w:pPr>
        <w:ind w:firstLine="420"/>
        <w:jc w:val="left"/>
        <w:spacing w:line="400" w:lineRule="exact"/>
        <w:shd w:val="clear" w:color="auto" w:fill="ffffff"/>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本次</w:t>
      </w:r>
      <w:r>
        <w:rPr>
          <w:rFonts w:hint="eastAsia" w:ascii="宋体" w:hAnsi="宋体" w:cs="宋体"/>
          <w:bCs/>
          <w:color w:val="auto"/>
          <w:szCs w:val="21"/>
          <w:highlight w:val="none"/>
          <w:lang w:eastAsia="zh-CN"/>
        </w:rPr>
        <w:t xml:space="preserve">应急溯源监测设备采购</w:t>
      </w:r>
      <w:r>
        <w:rPr>
          <w:rFonts w:hint="eastAsia" w:ascii="宋体" w:hAnsi="宋体" w:cs="宋体"/>
          <w:bCs/>
          <w:color w:val="auto"/>
          <w:szCs w:val="21"/>
          <w:highlight w:val="none"/>
          <w:lang w:val="en-US" w:eastAsia="zh-CN"/>
        </w:rPr>
        <w:t xml:space="preserve">清单如下：</w:t>
      </w:r>
      <w:r/>
    </w:p>
    <w:tbl>
      <w:tblPr>
        <w:tblStyle w:val="936"/>
        <w:tblW w:w="8570" w:type="dxa"/>
        <w:tblInd w:w="55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5952"/>
        <w:gridCol w:w="1865"/>
      </w:tblGrid>
      <w:tr>
        <w:trPr>
          <w:trHeight w:val="340"/>
        </w:trPr>
        <w:tc>
          <w:tcPr>
            <w:shd w:val="clear" w:color="auto" w:fill="ffffff"/>
            <w:tcW w:w="75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序号</w:t>
            </w:r>
            <w:r/>
          </w:p>
        </w:tc>
        <w:tc>
          <w:tcPr>
            <w:shd w:val="clear" w:color="auto" w:fill="ffffff"/>
            <w:tcW w:w="5952"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设备</w:t>
            </w:r>
            <w:r>
              <w:rPr>
                <w:rFonts w:hint="eastAsia" w:ascii="宋体" w:hAnsi="宋体" w:eastAsia="宋体" w:cs="宋体"/>
                <w:b w:val="0"/>
                <w:bCs w:val="0"/>
                <w:color w:val="auto"/>
                <w:sz w:val="21"/>
                <w:szCs w:val="21"/>
                <w:highlight w:val="none"/>
              </w:rPr>
              <w:t xml:space="preserve">名称</w:t>
            </w:r>
            <w:r/>
          </w:p>
        </w:tc>
        <w:tc>
          <w:tcPr>
            <w:shd w:val="clear" w:color="auto" w:fill="ffffff"/>
            <w:tcW w:w="1865"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数量</w:t>
            </w:r>
            <w:r/>
          </w:p>
        </w:tc>
      </w:tr>
      <w:tr>
        <w:trPr>
          <w:trHeight w:val="340"/>
        </w:trPr>
        <w:tc>
          <w:tcPr>
            <w:shd w:val="clear" w:color="auto" w:fill="ffffff"/>
            <w:tcW w:w="75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shd w:val="clear" w:color="auto" w:fill="ffffff"/>
            <w:tcW w:w="5952"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none"/>
                <w:lang w:val="en-US" w:eastAsia="zh-CN"/>
              </w:rPr>
              <w:t xml:space="preserve">无人机搭载多气体监测系统  </w:t>
            </w:r>
            <w:r/>
          </w:p>
        </w:tc>
        <w:tc>
          <w:tcPr>
            <w:shd w:val="clear" w:color="auto" w:fill="ffffff"/>
            <w:tcW w:w="1865"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none"/>
                <w:lang w:val="en-US" w:eastAsia="zh-CN"/>
              </w:rPr>
              <w:t xml:space="preserve">1套</w:t>
            </w:r>
            <w:r/>
          </w:p>
        </w:tc>
      </w:tr>
      <w:tr>
        <w:trPr>
          <w:trHeight w:val="340"/>
        </w:trPr>
        <w:tc>
          <w:tcPr>
            <w:shd w:val="clear" w:color="auto" w:fill="ffffff"/>
            <w:tcW w:w="75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shd w:val="clear" w:color="auto" w:fill="ffffff"/>
            <w:tcW w:w="5952"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执法排查无人机溯源系统</w:t>
            </w:r>
            <w:r/>
          </w:p>
        </w:tc>
        <w:tc>
          <w:tcPr>
            <w:shd w:val="clear" w:color="auto" w:fill="ffffff"/>
            <w:tcW w:w="1865"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none"/>
                <w:lang w:val="en-US" w:eastAsia="zh-CN"/>
              </w:rPr>
              <w:t xml:space="preserve">1套</w:t>
            </w:r>
            <w:r/>
          </w:p>
        </w:tc>
      </w:tr>
      <w:tr>
        <w:trPr>
          <w:trHeight w:val="340"/>
        </w:trPr>
        <w:tc>
          <w:tcPr>
            <w:shd w:val="clear" w:color="auto" w:fill="ffffff"/>
            <w:tcW w:w="75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shd w:val="clear" w:color="auto" w:fill="ffffff"/>
            <w:tcW w:w="5952"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手持式恶臭气体检测仪  </w:t>
            </w:r>
            <w:r/>
          </w:p>
        </w:tc>
        <w:tc>
          <w:tcPr>
            <w:shd w:val="clear" w:color="auto" w:fill="ffffff"/>
            <w:tcW w:w="1865" w:type="dxa"/>
            <w:vAlign w:val="center"/>
            <w:textDirection w:val="lrTb"/>
            <w:noWrap w:val="false"/>
          </w:tcPr>
          <w:p>
            <w:pPr>
              <w:jc w:val="center"/>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2套</w:t>
            </w:r>
            <w:r/>
          </w:p>
        </w:tc>
      </w:tr>
      <w:tr>
        <w:trPr>
          <w:trHeight w:val="340"/>
        </w:trPr>
        <w:tc>
          <w:tcPr>
            <w:shd w:val="clear" w:color="auto" w:fill="ffffff"/>
            <w:tcW w:w="75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shd w:val="clear" w:color="auto" w:fill="ffffff"/>
            <w:tcW w:w="5952"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环境气体应急检测仪  </w:t>
            </w:r>
            <w:r/>
          </w:p>
        </w:tc>
        <w:tc>
          <w:tcPr>
            <w:shd w:val="clear" w:color="auto" w:fill="ffffff"/>
            <w:tcW w:w="18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2套</w:t>
            </w:r>
            <w:r/>
          </w:p>
        </w:tc>
      </w:tr>
      <w:tr>
        <w:trPr>
          <w:trHeight w:val="340"/>
        </w:trPr>
        <w:tc>
          <w:tcPr>
            <w:shd w:val="clear" w:color="auto" w:fill="ffffff"/>
            <w:tcW w:w="75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shd w:val="clear" w:color="auto" w:fill="ffffff"/>
            <w:tcW w:w="5952"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有毒有害气体检测仪</w:t>
            </w:r>
            <w:r/>
          </w:p>
        </w:tc>
        <w:tc>
          <w:tcPr>
            <w:shd w:val="clear" w:color="auto" w:fill="ffffff"/>
            <w:tcW w:w="18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3套</w:t>
            </w:r>
            <w:r/>
          </w:p>
        </w:tc>
      </w:tr>
    </w:tbl>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合同履约期限：合同签订之日起30天内交付并安装调试完毕。</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本项目不接受联合体响应。</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二、申请人的资格要求：</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400" w:lineRule="exact"/>
        <w:tabs>
          <w:tab w:val="left" w:pos="567" w:leader="none"/>
        </w:tabs>
        <w:rPr>
          <w:rFonts w:ascii="宋体" w:hAnsi="宋体" w:cs="宋体"/>
          <w:color w:val="auto"/>
          <w:szCs w:val="21"/>
          <w:highlight w:val="none"/>
        </w:rPr>
      </w:pPr>
      <w:r/>
      <w:bookmarkStart w:id="0" w:name="_Toc916371710"/>
      <w:r>
        <w:rPr>
          <w:rFonts w:hint="eastAsia" w:ascii="宋体" w:hAnsi="宋体" w:cs="宋体"/>
          <w:color w:val="auto"/>
          <w:szCs w:val="21"/>
          <w:highlight w:val="none"/>
        </w:rPr>
        <w:t xml:space="preserve">(1)具有独立承担民事责任的能力；</w:t>
      </w:r>
      <w:r/>
    </w:p>
    <w:p>
      <w:pPr>
        <w:ind w:firstLine="420"/>
        <w:spacing w:line="40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40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40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40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40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bookmarkEnd w:id="0"/>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jc w:val="left"/>
        <w:spacing w:line="40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(1)本项目所属行业为工业。本项目专门面向中小企业采购。</w:t>
      </w:r>
      <w:r>
        <w:rPr>
          <w:rFonts w:hint="eastAsia" w:ascii="宋体" w:hAnsi="宋体" w:cs="宋体"/>
          <w:color w:val="auto"/>
          <w:szCs w:val="21"/>
          <w:highlight w:val="none"/>
        </w:rPr>
        <w:t xml:space="preserve">供应商参加本项目采购活动时应在响应文件中出具《中小企业声明函》，残疾人福利性单位（监狱企业）供应商提供的残疾人福利性单位声明函（监狱企业证明文件）视同提供了中小企业声明函。</w:t>
      </w:r>
      <w:r/>
    </w:p>
    <w:p>
      <w:pPr>
        <w:ind w:firstLine="420"/>
        <w:jc w:val="left"/>
        <w:spacing w:line="400" w:lineRule="exact"/>
        <w:shd w:val="clear" w:color="auto" w:fill="ffffff"/>
        <w:widowControl/>
        <w:rPr>
          <w:rFonts w:hint="eastAsia" w:ascii="宋体" w:hAnsi="宋体" w:eastAsia="宋体" w:cs="宋体"/>
          <w:color w:val="auto"/>
          <w:szCs w:val="21"/>
          <w:highlight w:val="none"/>
          <w:lang w:eastAsia="zh-CN"/>
        </w:rPr>
      </w:pPr>
      <w:r/>
      <w:bookmarkStart w:id="1" w:name="OLE_LINK12"/>
      <w:r/>
      <w:bookmarkStart w:id="2" w:name="OLE_LINK6"/>
      <w:r>
        <w:rPr>
          <w:rFonts w:hint="eastAsia" w:ascii="宋体" w:hAnsi="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未被列入失信被执行人、重大税收违法案件当事人名单、政府采购严重失信行为记录名单</w:t>
      </w:r>
      <w:bookmarkEnd w:id="1"/>
      <w:r>
        <w:rPr>
          <w:rFonts w:hint="eastAsia" w:ascii="宋体" w:hAnsi="宋体" w:cs="宋体"/>
          <w:color w:val="auto"/>
          <w:szCs w:val="21"/>
          <w:highlight w:val="none"/>
          <w:lang w:eastAsia="zh-CN"/>
        </w:rPr>
        <w:t xml:space="preserve">。</w:t>
      </w:r>
      <w:bookmarkStart w:id="7" w:name="_GoBack"/>
      <w:r/>
      <w:bookmarkEnd w:id="7"/>
      <w:r/>
      <w:bookmarkEnd w:id="2"/>
      <w:r/>
      <w:r/>
    </w:p>
    <w:p>
      <w:pPr>
        <w:ind w:firstLine="420"/>
        <w:jc w:val="left"/>
        <w:spacing w:line="400" w:lineRule="exact"/>
        <w:shd w:val="clear" w:color="auto" w:fill="ffffff"/>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eastAsia="宋体" w:cs="宋体"/>
          <w:color w:val="auto"/>
          <w:szCs w:val="21"/>
          <w:highlight w:val="none"/>
        </w:rPr>
        <w:t xml:space="preserve">单位负责人为同一人</w:t>
      </w:r>
      <w:r>
        <w:rPr>
          <w:rFonts w:hint="eastAsia" w:ascii="宋体" w:hAnsi="宋体"/>
          <w:color w:val="auto"/>
          <w:szCs w:val="21"/>
          <w:highlight w:val="none"/>
          <w:shd w:val="clear" w:color="auto" w:fill="auto"/>
        </w:rPr>
        <w:t xml:space="preserve">或者存在直</w:t>
      </w:r>
      <w:r>
        <w:rPr>
          <w:rFonts w:hint="eastAsia" w:ascii="宋体" w:hAnsi="宋体" w:cs="宋体"/>
          <w:color w:val="auto"/>
          <w:szCs w:val="21"/>
          <w:highlight w:val="none"/>
          <w:shd w:val="clear" w:color="auto" w:fill="auto"/>
        </w:rPr>
        <w:t xml:space="preserve">接控股、管理关系的不同供应商（包含法定代表人为同一个人的两个及两个以上法人，母公司、全资子公司及其控股公司），不得参加同一合同项下的政府采购活动。</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3.本项目的特定资格要求：无。</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三、获取谈判采购文件：</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1.时间：自本采购公告发布之日起三个工作日</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2.地点：</w:t>
      </w:r>
      <w:r>
        <w:rPr>
          <w:rFonts w:hint="eastAsia" w:ascii="宋体" w:hAnsi="宋体" w:cs="宋体"/>
          <w:color w:val="auto"/>
          <w:szCs w:val="21"/>
          <w:highlight w:val="none"/>
        </w:rPr>
        <w:t xml:space="preserve">江苏省政府采购一体化平台“苏采云”系统自行下载</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3.方式：登录江苏省政府采购一体化平台“苏采云”系统，确认参与项目后自行下载</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4.售价：免费</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四、响应文件提交</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截止时间：2025年</w:t>
      </w:r>
      <w:r>
        <w:rPr>
          <w:rFonts w:hint="eastAsia" w:ascii="宋体" w:hAnsi="宋体" w:cs="宋体"/>
          <w:color w:val="auto"/>
          <w:szCs w:val="21"/>
          <w:highlight w:val="none"/>
          <w:lang w:eastAsia="zh-CN"/>
        </w:rPr>
        <w:t xml:space="preserve">12月</w:t>
      </w:r>
      <w:r>
        <w:rPr>
          <w:rFonts w:hint="eastAsia" w:ascii="宋体" w:hAnsi="宋体" w:cs="宋体"/>
          <w:color w:val="auto"/>
          <w:szCs w:val="21"/>
          <w:highlight w:val="none"/>
          <w:lang w:val="en-US" w:eastAsia="zh-CN"/>
        </w:rPr>
        <w:t xml:space="preserve">19</w:t>
      </w:r>
      <w:r>
        <w:rPr>
          <w:rFonts w:hint="eastAsia" w:ascii="宋体" w:hAnsi="宋体" w:cs="宋体"/>
          <w:color w:val="auto"/>
          <w:szCs w:val="21"/>
          <w:highlight w:val="none"/>
          <w:lang w:eastAsia="zh-CN"/>
        </w:rPr>
        <w:t xml:space="preserve">日1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：30</w:t>
      </w:r>
      <w:r>
        <w:rPr>
          <w:rFonts w:hint="eastAsia" w:ascii="宋体" w:hAnsi="宋体" w:cs="宋体"/>
          <w:color w:val="auto"/>
          <w:szCs w:val="21"/>
          <w:highlight w:val="none"/>
        </w:rPr>
        <w:t xml:space="preserve">（北京时间）</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地点：苏采云系统（网址：http://jszfcg.jsczt.cn/）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响应文件网上递交，无需至现场参加采购活动</w:t>
      </w:r>
      <w:r>
        <w:rPr>
          <w:rFonts w:hint="eastAsia" w:ascii="宋体" w:hAnsi="宋体" w:cs="宋体"/>
          <w:color w:val="auto"/>
          <w:szCs w:val="21"/>
          <w:highlight w:val="none"/>
        </w:rPr>
        <w:t xml:space="preserve">。</w:t>
      </w:r>
      <w:r/>
    </w:p>
    <w:p>
      <w:pPr>
        <w:numPr>
          <w:ilvl w:val="0"/>
          <w:numId w:val="4"/>
        </w:num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开启</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时间：2025年</w:t>
      </w:r>
      <w:r>
        <w:rPr>
          <w:rFonts w:hint="eastAsia" w:ascii="宋体" w:hAnsi="宋体" w:cs="宋体"/>
          <w:color w:val="auto"/>
          <w:szCs w:val="21"/>
          <w:highlight w:val="none"/>
          <w:lang w:eastAsia="zh-CN"/>
        </w:rPr>
        <w:t xml:space="preserve">12月</w:t>
      </w:r>
      <w:r>
        <w:rPr>
          <w:rFonts w:hint="eastAsia" w:ascii="宋体" w:hAnsi="宋体" w:cs="宋体"/>
          <w:color w:val="auto"/>
          <w:szCs w:val="21"/>
          <w:highlight w:val="none"/>
          <w:lang w:val="en-US" w:eastAsia="zh-CN"/>
        </w:rPr>
        <w:t xml:space="preserve">19</w:t>
      </w:r>
      <w:r>
        <w:rPr>
          <w:rFonts w:hint="eastAsia" w:ascii="宋体" w:hAnsi="宋体" w:cs="宋体"/>
          <w:color w:val="auto"/>
          <w:szCs w:val="21"/>
          <w:highlight w:val="none"/>
          <w:lang w:eastAsia="zh-CN"/>
        </w:rPr>
        <w:t xml:space="preserve">日1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：30</w:t>
      </w:r>
      <w:r>
        <w:rPr>
          <w:rFonts w:hint="eastAsia" w:ascii="宋体" w:hAnsi="宋体" w:cs="宋体"/>
          <w:color w:val="auto"/>
          <w:szCs w:val="21"/>
          <w:highlight w:val="none"/>
        </w:rPr>
        <w:t xml:space="preserve">（北京时间）</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地点：</w:t>
      </w:r>
      <w:r>
        <w:rPr>
          <w:rFonts w:hint="eastAsia" w:ascii="宋体" w:hAnsi="宋体" w:cs="宋体"/>
          <w:color w:val="auto"/>
          <w:sz w:val="21"/>
          <w:szCs w:val="21"/>
          <w:highlight w:val="none"/>
          <w:shd w:val="clear" w:color="auto" w:fill="auto"/>
        </w:rPr>
        <w:t xml:space="preserve">苏州市市辖区【狮山科技馆】不见面开标室（虚拟开标室）</w:t>
      </w:r>
      <w:r>
        <w:rPr>
          <w:rFonts w:hint="eastAsia" w:ascii="宋体" w:hAnsi="宋体" w:cs="宋体"/>
          <w:color w:val="auto"/>
          <w:szCs w:val="21"/>
          <w:highlight w:val="none"/>
        </w:rPr>
        <w:t xml:space="preserve">。</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六、公告期限：自本公告发布之日起</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个工作日。</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七、其他相关事宜：</w:t>
      </w:r>
      <w:r/>
    </w:p>
    <w:p>
      <w:pPr>
        <w:ind w:firstLine="420"/>
        <w:jc w:val="left"/>
        <w:spacing w:line="40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1.CA证书办</w:t>
      </w:r>
      <w:r>
        <w:rPr>
          <w:rFonts w:hint="eastAsia" w:ascii="宋体" w:hAnsi="宋体" w:cs="宋体"/>
          <w:color w:val="auto"/>
          <w:szCs w:val="21"/>
          <w:highlight w:val="none"/>
        </w:rPr>
        <w:t xml:space="preserve">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-69820834。</w:t>
      </w:r>
      <w:r/>
    </w:p>
    <w:p>
      <w:pPr>
        <w:ind w:firstLine="420"/>
        <w:jc w:val="left"/>
        <w:spacing w:line="40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ind w:firstLine="420"/>
        <w:jc w:val="left"/>
        <w:spacing w:line="40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3.技术服务咨询电话：CA技术咨询电话：400-608-6099；电子签章技术咨询电话：025-83633811、025-83633812、15380932027、15371015030；系统使用指导与咨询电话：18261002950（不见面项目）QQ：3048755361、895706745。</w:t>
      </w:r>
      <w:r/>
    </w:p>
    <w:p>
      <w:pPr>
        <w:ind w:firstLine="420"/>
        <w:jc w:val="left"/>
        <w:spacing w:line="40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4.未依照招标公告要求获取招标文件的响应单位，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40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5.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ind w:firstLine="420"/>
        <w:jc w:val="left"/>
        <w:spacing w:line="40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6.线上参加开标（开启）会方式：供应商登录“苏采云”系统，点击“开标大厅”，选择对应项目，点击进入不见面开标系统。</w:t>
      </w:r>
      <w:r/>
    </w:p>
    <w:p>
      <w:pPr>
        <w:ind w:firstLine="420"/>
        <w:jc w:val="left"/>
        <w:spacing w:line="40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7.本项目为不见面开标（开启）项目，开启阶段供应商在【解密环节】必须使用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ind w:firstLine="420"/>
        <w:jc w:val="left"/>
        <w:spacing w:line="40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8.请供应商确保电脑、系统及其他设备（视频输入输出设备等）无误，且开启直至项目结束始终保持系统在线状态。</w:t>
      </w:r>
      <w:r/>
    </w:p>
    <w:p>
      <w:pPr>
        <w:ind w:firstLine="420"/>
        <w:jc w:val="left"/>
        <w:spacing w:line="40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9.本公告同时在江苏省政府采购网、苏州市政府采购网上发布。</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八、对本次采购提出询问，请按以下方式联系：</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 采购人信息</w:t>
      </w:r>
      <w:r/>
    </w:p>
    <w:p>
      <w:pPr>
        <w:ind w:firstLine="420"/>
        <w:jc w:val="left"/>
        <w:spacing w:line="400" w:lineRule="exact"/>
        <w:shd w:val="clear" w:color="auto" w:fill="ffffff"/>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名称：</w:t>
      </w:r>
      <w:r>
        <w:rPr>
          <w:rFonts w:hint="eastAsia" w:ascii="宋体" w:hAnsi="宋体"/>
          <w:color w:val="auto"/>
          <w:szCs w:val="21"/>
          <w:highlight w:val="none"/>
          <w:lang w:eastAsia="zh-CN"/>
        </w:rPr>
        <w:t xml:space="preserve">苏州市吴中生态环境局</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olor w:val="auto"/>
          <w:highlight w:val="none"/>
        </w:rPr>
        <w:t xml:space="preserve">苏州市吴中区苏街198号</w:t>
      </w:r>
      <w:r/>
    </w:p>
    <w:p>
      <w:pPr>
        <w:pStyle w:val="970"/>
        <w:spacing w:line="400" w:lineRule="exact"/>
        <w:rPr>
          <w:rFonts w:hint="eastAsia" w:ascii="宋体" w:hAnsi="宋体"/>
          <w:color w:val="auto"/>
          <w:szCs w:val="21"/>
          <w:highlight w:val="none"/>
        </w:rPr>
      </w:pPr>
      <w:r>
        <w:rPr>
          <w:rFonts w:hint="eastAsia" w:hAnsi="宋体" w:cs="宋体"/>
          <w:color w:val="auto"/>
          <w:szCs w:val="21"/>
          <w:highlight w:val="none"/>
        </w:rPr>
        <w:t xml:space="preserve">联系方式：</w:t>
      </w:r>
      <w:r>
        <w:rPr>
          <w:rFonts w:hint="eastAsia" w:ascii="宋体" w:hAnsi="宋体"/>
          <w:color w:val="auto"/>
          <w:szCs w:val="21"/>
          <w:highlight w:val="none"/>
        </w:rPr>
        <w:t xml:space="preserve">0512-65251102</w:t>
      </w:r>
      <w:r/>
    </w:p>
    <w:p>
      <w:pPr>
        <w:pStyle w:val="970"/>
        <w:spacing w:line="400" w:lineRule="exact"/>
        <w:rPr>
          <w:color w:val="auto"/>
          <w:highlight w:val="none"/>
        </w:rPr>
      </w:pPr>
      <w:r>
        <w:rPr>
          <w:rFonts w:hint="eastAsia" w:hAnsi="宋体" w:cs="宋体"/>
          <w:color w:val="auto"/>
          <w:szCs w:val="21"/>
          <w:highlight w:val="none"/>
        </w:rPr>
        <w:t xml:space="preserve">联系人：</w:t>
      </w:r>
      <w:r>
        <w:rPr>
          <w:rFonts w:hint="eastAsia" w:ascii="宋体" w:hAnsi="宋体"/>
          <w:color w:val="auto"/>
          <w:highlight w:val="none"/>
          <w:lang w:val="en-US" w:eastAsia="zh-CN"/>
        </w:rPr>
        <w:t xml:space="preserve">朱金杰</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 采购代理机构</w:t>
      </w:r>
      <w:r>
        <w:rPr>
          <w:rFonts w:hint="eastAsia" w:cs="宋体"/>
          <w:color w:val="auto"/>
          <w:highlight w:val="none"/>
        </w:rPr>
        <w:t xml:space="preserve">信息</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名称：苏州市原鑫招投标咨询服务有限公司</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地址：苏州市三香路万盛大厦13楼B座</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联系方式：0512-68364647、68361806*8002</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rPr>
        <w:t xml:space="preserve">金健、周详、祝晓忠、周悦婷</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电话：0512-68364647、68361806*8002 </w:t>
      </w:r>
      <w:r/>
    </w:p>
    <w:p>
      <w:pPr>
        <w:numPr>
          <w:ilvl w:val="0"/>
          <w:numId w:val="5"/>
        </w:numPr>
        <w:jc w:val="center"/>
        <w:spacing w:line="400" w:lineRule="exact"/>
        <w:tabs>
          <w:tab w:val="left" w:pos="5250" w:leader="none"/>
        </w:tabs>
        <w:rPr>
          <w:rFonts w:ascii="宋体" w:hAnsi="宋体"/>
          <w:b/>
          <w:bCs/>
          <w:color w:val="auto"/>
          <w:sz w:val="32"/>
          <w:szCs w:val="32"/>
          <w:highlight w:val="none"/>
        </w:rPr>
        <w:outlineLvl w:val="0"/>
      </w:pPr>
      <w:r>
        <w:rPr>
          <w:rFonts w:ascii="宋体" w:hAnsi="宋体"/>
          <w:color w:val="auto"/>
          <w:szCs w:val="21"/>
          <w:highlight w:val="none"/>
        </w:rPr>
        <w:br w:type="page" w:clear="all"/>
      </w:r>
      <w:r>
        <w:rPr>
          <w:rFonts w:hint="eastAsia" w:ascii="宋体" w:hAnsi="宋体"/>
          <w:b/>
          <w:bCs/>
          <w:color w:val="auto"/>
          <w:sz w:val="32"/>
          <w:szCs w:val="32"/>
          <w:highlight w:val="none"/>
        </w:rPr>
        <w:t xml:space="preserve">谈判文件</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苏州市原鑫招投标咨询服务有限公司受</w:t>
      </w:r>
      <w:r>
        <w:rPr>
          <w:rFonts w:hint="eastAsia" w:ascii="宋体" w:hAnsi="宋体"/>
          <w:color w:val="auto"/>
          <w:szCs w:val="21"/>
          <w:highlight w:val="none"/>
          <w:lang w:eastAsia="zh-CN"/>
        </w:rPr>
        <w:t xml:space="preserve">苏州市吴中生态环境局</w:t>
      </w:r>
      <w:r>
        <w:rPr>
          <w:rFonts w:hint="eastAsia" w:ascii="宋体" w:hAnsi="宋体" w:cs="宋体"/>
          <w:color w:val="auto"/>
          <w:szCs w:val="21"/>
          <w:highlight w:val="none"/>
        </w:rPr>
        <w:t xml:space="preserve">的委托，就</w:t>
      </w:r>
      <w:r>
        <w:rPr>
          <w:rFonts w:hint="eastAsia" w:ascii="宋体" w:hAnsi="宋体"/>
          <w:color w:val="auto"/>
          <w:szCs w:val="21"/>
          <w:highlight w:val="none"/>
          <w:lang w:eastAsia="zh-CN"/>
        </w:rPr>
        <w:t xml:space="preserve">应急溯源监测设备采购</w:t>
      </w:r>
      <w:r>
        <w:rPr>
          <w:rFonts w:hint="eastAsia" w:ascii="宋体" w:hAnsi="宋体" w:cs="宋体"/>
          <w:color w:val="auto"/>
          <w:szCs w:val="21"/>
          <w:highlight w:val="none"/>
        </w:rPr>
        <w:t xml:space="preserve">进行竞争性谈判采购，现欢迎符合相关条件的供应商参加响应。</w:t>
      </w:r>
      <w:r/>
    </w:p>
    <w:p>
      <w:pPr>
        <w:numPr>
          <w:ilvl w:val="0"/>
          <w:numId w:val="6"/>
        </w:numPr>
        <w:contextualSpacing/>
        <w:spacing w:line="400" w:lineRule="exact"/>
        <w:tabs>
          <w:tab w:val="left" w:pos="0" w:leader="none"/>
        </w:tabs>
        <w:rPr>
          <w:rFonts w:ascii="宋体" w:hAnsi="宋体" w:cs="宋体"/>
          <w:bCs/>
          <w:color w:val="auto"/>
          <w:highlight w:val="none"/>
        </w:rPr>
      </w:pPr>
      <w:r>
        <w:rPr>
          <w:rFonts w:hint="eastAsia" w:ascii="宋体" w:hAnsi="宋体" w:cs="宋体"/>
          <w:b/>
          <w:bCs w:val="0"/>
          <w:color w:val="auto"/>
          <w:highlight w:val="none"/>
        </w:rPr>
        <w:t xml:space="preserve">采购内容：</w:t>
      </w:r>
      <w:r>
        <w:rPr>
          <w:rFonts w:hint="eastAsia" w:ascii="宋体" w:hAnsi="宋体" w:cs="宋体"/>
          <w:bCs/>
          <w:color w:val="auto"/>
          <w:szCs w:val="21"/>
          <w:highlight w:val="none"/>
          <w:lang w:eastAsia="zh-CN"/>
        </w:rPr>
        <w:t xml:space="preserve">应急溯源监测设备采购</w:t>
      </w:r>
      <w:r/>
    </w:p>
    <w:p>
      <w:pPr>
        <w:numPr>
          <w:ilvl w:val="0"/>
          <w:numId w:val="6"/>
        </w:numPr>
        <w:contextualSpacing/>
        <w:spacing w:line="400" w:lineRule="exact"/>
        <w:tabs>
          <w:tab w:val="left" w:pos="0" w:leader="none"/>
        </w:tabs>
        <w:rPr>
          <w:rFonts w:ascii="宋体" w:hAnsi="宋体" w:cs="宋体"/>
          <w:bCs/>
          <w:color w:val="auto"/>
          <w:szCs w:val="21"/>
          <w:highlight w:val="none"/>
        </w:rPr>
      </w:pPr>
      <w:r>
        <w:rPr>
          <w:rFonts w:hint="eastAsia" w:ascii="宋体" w:hAnsi="宋体" w:cs="宋体"/>
          <w:b/>
          <w:bCs w:val="0"/>
          <w:color w:val="auto"/>
          <w:szCs w:val="21"/>
          <w:highlight w:val="none"/>
        </w:rPr>
        <w:t xml:space="preserve">采购编号：</w:t>
      </w:r>
      <w:r>
        <w:rPr>
          <w:rFonts w:hint="eastAsia" w:ascii="宋体" w:hAnsi="宋体" w:cs="宋体"/>
          <w:bCs/>
          <w:color w:val="auto"/>
          <w:szCs w:val="21"/>
          <w:highlight w:val="none"/>
          <w:lang w:eastAsia="zh-CN"/>
        </w:rPr>
        <w:t xml:space="preserve">JSZC-320506-SZYX-T2025-0079</w:t>
      </w:r>
      <w:r/>
    </w:p>
    <w:p>
      <w:pPr>
        <w:numPr>
          <w:ilvl w:val="0"/>
          <w:numId w:val="6"/>
        </w:numPr>
        <w:contextualSpacing/>
        <w:spacing w:line="400" w:lineRule="exact"/>
        <w:tabs>
          <w:tab w:val="left" w:pos="0" w:leader="none"/>
        </w:tabs>
        <w:rPr>
          <w:rFonts w:ascii="宋体" w:hAnsi="宋体" w:cs="宋体"/>
          <w:b/>
          <w:bCs w:val="0"/>
          <w:color w:val="auto"/>
          <w:szCs w:val="21"/>
          <w:highlight w:val="none"/>
        </w:rPr>
      </w:pPr>
      <w:r>
        <w:rPr>
          <w:rFonts w:hint="eastAsia" w:ascii="宋体" w:hAnsi="宋体" w:cs="宋体"/>
          <w:b/>
          <w:bCs w:val="0"/>
          <w:color w:val="auto"/>
          <w:szCs w:val="21"/>
          <w:highlight w:val="none"/>
        </w:rPr>
        <w:t xml:space="preserve">采购需求：</w:t>
      </w:r>
      <w:r/>
    </w:p>
    <w:p>
      <w:pPr>
        <w:numPr>
          <w:ilvl w:val="0"/>
          <w:numId w:val="7"/>
        </w:numPr>
        <w:contextualSpacing/>
        <w:spacing w:line="400" w:lineRule="exact"/>
        <w:tabs>
          <w:tab w:val="left" w:pos="0" w:leader="none"/>
        </w:tabs>
        <w:rPr>
          <w:rFonts w:ascii="宋体" w:hAnsi="宋体" w:cs="宋体"/>
          <w:b/>
          <w:bCs/>
          <w:color w:val="auto"/>
          <w:highlight w:val="none"/>
        </w:rPr>
      </w:pPr>
      <w:r>
        <w:rPr>
          <w:rFonts w:hint="eastAsia" w:ascii="宋体" w:hAnsi="宋体" w:cs="宋体"/>
          <w:b/>
          <w:bCs/>
          <w:color w:val="auto"/>
          <w:highlight w:val="none"/>
          <w:lang w:val="en-US" w:eastAsia="zh-CN"/>
        </w:rPr>
        <w:t xml:space="preserve">采购清单：</w:t>
      </w:r>
      <w:r/>
    </w:p>
    <w:tbl>
      <w:tblPr>
        <w:tblStyle w:val="936"/>
        <w:tblW w:w="9504" w:type="dxa"/>
        <w:tblInd w:w="55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7945"/>
        <w:gridCol w:w="867"/>
      </w:tblGrid>
      <w:tr>
        <w:trPr>
          <w:trHeight w:val="340"/>
        </w:trPr>
        <w:tc>
          <w:tcPr>
            <w:shd w:val="clear" w:color="auto" w:fill="ffffff"/>
            <w:tcW w:w="692"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序号</w:t>
            </w:r>
            <w:r/>
          </w:p>
        </w:tc>
        <w:tc>
          <w:tcPr>
            <w:shd w:val="clear" w:color="auto" w:fill="ffffff"/>
            <w:tcW w:w="7945"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设备</w:t>
            </w:r>
            <w:r>
              <w:rPr>
                <w:rFonts w:hint="eastAsia" w:ascii="宋体" w:hAnsi="宋体" w:eastAsia="宋体" w:cs="宋体"/>
                <w:b w:val="0"/>
                <w:bCs w:val="0"/>
                <w:color w:val="auto"/>
                <w:sz w:val="21"/>
                <w:szCs w:val="21"/>
                <w:highlight w:val="none"/>
              </w:rPr>
              <w:t xml:space="preserve">名称</w:t>
            </w:r>
            <w:r/>
          </w:p>
        </w:tc>
        <w:tc>
          <w:tcPr>
            <w:shd w:val="clear" w:color="auto" w:fill="ffffff"/>
            <w:tcW w:w="867"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数量</w:t>
            </w:r>
            <w:r/>
          </w:p>
        </w:tc>
      </w:tr>
      <w:tr>
        <w:trPr>
          <w:trHeight w:val="340"/>
        </w:trPr>
        <w:tc>
          <w:tcPr>
            <w:shd w:val="clear" w:color="auto" w:fill="ffffff"/>
            <w:tcW w:w="692"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shd w:val="clear" w:color="auto" w:fill="ffffff"/>
            <w:tcW w:w="7945"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none"/>
                <w:lang w:val="en-US" w:eastAsia="zh-CN"/>
              </w:rPr>
              <w:t xml:space="preserve">无人机搭载多气体监测系统  </w:t>
            </w:r>
            <w:r/>
          </w:p>
        </w:tc>
        <w:tc>
          <w:tcPr>
            <w:shd w:val="clear" w:color="auto" w:fill="ffffff"/>
            <w:tcW w:w="867"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none"/>
                <w:lang w:val="en-US" w:eastAsia="zh-CN"/>
              </w:rPr>
              <w:t xml:space="preserve">1套</w:t>
            </w:r>
            <w:r/>
          </w:p>
        </w:tc>
      </w:tr>
      <w:tr>
        <w:trPr>
          <w:trHeight w:val="340"/>
        </w:trPr>
        <w:tc>
          <w:tcPr>
            <w:shd w:val="clear" w:color="auto" w:fill="ffffff"/>
            <w:tcW w:w="692"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shd w:val="clear" w:color="auto" w:fill="ffffff"/>
            <w:tcW w:w="7945"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执法排查无人机溯源系统</w:t>
            </w:r>
            <w:r/>
          </w:p>
        </w:tc>
        <w:tc>
          <w:tcPr>
            <w:shd w:val="clear" w:color="auto" w:fill="ffffff"/>
            <w:tcW w:w="867"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none"/>
                <w:lang w:val="en-US" w:eastAsia="zh-CN"/>
              </w:rPr>
              <w:t xml:space="preserve">1套</w:t>
            </w:r>
            <w:r/>
          </w:p>
        </w:tc>
      </w:tr>
      <w:tr>
        <w:trPr>
          <w:trHeight w:val="340"/>
        </w:trPr>
        <w:tc>
          <w:tcPr>
            <w:shd w:val="clear" w:color="auto" w:fill="ffffff"/>
            <w:tcW w:w="692"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shd w:val="clear" w:color="auto" w:fill="ffffff"/>
            <w:tcW w:w="794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手持式恶臭气体检测仪  </w:t>
            </w:r>
            <w:r/>
          </w:p>
        </w:tc>
        <w:tc>
          <w:tcPr>
            <w:shd w:val="clear" w:color="auto" w:fill="ffffff"/>
            <w:tcW w:w="867" w:type="dxa"/>
            <w:vAlign w:val="center"/>
            <w:textDirection w:val="lrTb"/>
            <w:noWrap w:val="false"/>
          </w:tcPr>
          <w:p>
            <w:pPr>
              <w:jc w:val="center"/>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2套</w:t>
            </w:r>
            <w:r/>
          </w:p>
        </w:tc>
      </w:tr>
      <w:tr>
        <w:trPr>
          <w:trHeight w:val="340"/>
        </w:trPr>
        <w:tc>
          <w:tcPr>
            <w:shd w:val="clear" w:color="auto" w:fill="ffffff"/>
            <w:tcW w:w="692"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shd w:val="clear" w:color="auto" w:fill="ffffff"/>
            <w:tcW w:w="794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环境气体应急检测仪  </w:t>
            </w:r>
            <w:r/>
          </w:p>
        </w:tc>
        <w:tc>
          <w:tcPr>
            <w:shd w:val="clear" w:color="auto" w:fill="ffffff"/>
            <w:tcW w:w="867"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2套</w:t>
            </w:r>
            <w:r/>
          </w:p>
        </w:tc>
      </w:tr>
      <w:tr>
        <w:trPr>
          <w:trHeight w:val="340"/>
        </w:trPr>
        <w:tc>
          <w:tcPr>
            <w:shd w:val="clear" w:color="auto" w:fill="ffffff"/>
            <w:tcW w:w="692"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shd w:val="clear" w:color="auto" w:fill="ffffff"/>
            <w:tcW w:w="794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有毒有害气体检测仪</w:t>
            </w:r>
            <w:r/>
          </w:p>
        </w:tc>
        <w:tc>
          <w:tcPr>
            <w:shd w:val="clear" w:color="auto" w:fill="ffffff"/>
            <w:tcW w:w="867"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3套</w:t>
            </w:r>
            <w:r/>
          </w:p>
        </w:tc>
      </w:tr>
    </w:tbl>
    <w:p>
      <w:pPr>
        <w:numPr>
          <w:ilvl w:val="0"/>
          <w:numId w:val="7"/>
        </w:numPr>
        <w:contextualSpacing/>
        <w:spacing w:line="400" w:lineRule="exact"/>
        <w:tabs>
          <w:tab w:val="left" w:pos="0" w:leader="none"/>
        </w:tabs>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详细技术参数要求</w:t>
      </w:r>
      <w:r/>
    </w:p>
    <w:tbl>
      <w:tblPr>
        <w:tblStyle w:val="936"/>
        <w:tblW w:w="9537" w:type="dxa"/>
        <w:tblInd w:w="55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645"/>
        <w:gridCol w:w="6316"/>
        <w:gridCol w:w="884"/>
      </w:tblGrid>
      <w:tr>
        <w:trPr>
          <w:trHeight w:val="340"/>
        </w:trPr>
        <w:tc>
          <w:tcPr>
            <w:shd w:val="clear" w:color="auto" w:fill="ffffff"/>
            <w:tcW w:w="69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序号</w:t>
            </w:r>
            <w:r/>
          </w:p>
        </w:tc>
        <w:tc>
          <w:tcPr>
            <w:shd w:val="clear" w:color="auto" w:fill="ffffff"/>
            <w:tcW w:w="16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设备</w:t>
            </w:r>
            <w:r>
              <w:rPr>
                <w:rFonts w:hint="eastAsia" w:ascii="宋体" w:hAnsi="宋体" w:eastAsia="宋体" w:cs="宋体"/>
                <w:b w:val="0"/>
                <w:bCs w:val="0"/>
                <w:color w:val="auto"/>
                <w:sz w:val="21"/>
                <w:szCs w:val="21"/>
                <w:highlight w:val="none"/>
              </w:rPr>
              <w:t xml:space="preserve">名称</w:t>
            </w:r>
            <w:r/>
          </w:p>
        </w:tc>
        <w:tc>
          <w:tcPr>
            <w:shd w:val="clear" w:color="auto" w:fill="ffffff"/>
            <w:tcW w:w="63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详细技术参数要求</w:t>
            </w:r>
            <w:r/>
          </w:p>
        </w:tc>
        <w:tc>
          <w:tcPr>
            <w:shd w:val="clear" w:color="auto" w:fill="ffffff"/>
            <w:tcW w:w="88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数量</w:t>
            </w:r>
            <w:r/>
          </w:p>
        </w:tc>
      </w:tr>
      <w:tr>
        <w:trPr>
          <w:trHeight w:val="340"/>
        </w:trPr>
        <w:tc>
          <w:tcPr>
            <w:shd w:val="clear" w:color="auto" w:fill="ffffff"/>
            <w:tcW w:w="69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w:t>
            </w:r>
            <w:r/>
          </w:p>
        </w:tc>
        <w:tc>
          <w:tcPr>
            <w:shd w:val="clear" w:color="auto" w:fill="ffffff"/>
            <w:tcW w:w="16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u w:val="none"/>
                <w:lang w:val="en-US" w:eastAsia="zh-CN"/>
              </w:rPr>
              <w:t xml:space="preserve">无人机搭载多气体监测系统  </w:t>
            </w:r>
            <w:r/>
          </w:p>
        </w:tc>
        <w:tc>
          <w:tcPr>
            <w:shd w:val="clear" w:color="auto" w:fill="ffffff"/>
            <w:tcW w:w="631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一</w:t>
            </w:r>
            <w:r>
              <w:rPr>
                <w:rFonts w:hint="eastAsia" w:ascii="宋体" w:hAnsi="宋体" w:eastAsia="宋体" w:cs="宋体"/>
                <w:b w:val="0"/>
                <w:bCs w:val="0"/>
                <w:color w:val="auto"/>
                <w:sz w:val="21"/>
                <w:szCs w:val="21"/>
                <w:highlight w:val="none"/>
              </w:rPr>
              <w:t xml:space="preserve">）无人机技术参数</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1、无人机类型：多旋翼无人机；</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2、最大起飞重量：≤15.8kg；</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3、最大载重：≥6kg；</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4、最长飞行时间（无风环境）：≥59min；</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5、最大续航里程（无风环境）：≥49公里；</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6、最大抗风速度：≥12米/秒；</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7、工作环境温度：≥-20℃ 至 50℃；</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8、全球导航卫星系统：仅支持国产化导航定位系统；</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9、RTK定位精度：水平≤1厘米 + 1 ppm；垂直≤1.5厘米 + 1 ppm；</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10、标配天空端 ADS-B in，双天线，支持≥20公里；</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11、夜航灯：无人机内置；</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12、防护等级：≥IP55；</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13、无人机云台：</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13.1单云台组件最大挂载：≥1400g（超过950g，减震球寿命会从1000 小时下降至400小时）；</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13.2双云台组件最大挂载：≥950g；</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13.3第三云台支架最大挂载：快拆口≥3kg，螺丝锁付直挂≥6kg；</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14、无人机感知系统：</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14.1感知系统类型包括：</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（1）全向双目视觉系统（环视为彩色鱼眼）；</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（2）水平环扫激光雷达，上激光雷达及下三维红外测距传感器；</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（3）六向毫米波雷达；</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14.2测距范围：</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（1）前视：≥0.4米至21米；</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（2）后视：≥0.4米至21米；</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（3）侧视：≥0.6米至21米；</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（4）下视：≥0.5米至19米；</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14.3环扫激光雷达：</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（1）标准量程：≥0.5 m-100 m @ 10% 反射率 @ 100000 lux（反射率 10% 物体）；</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（2）激光波长：905 nm；</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（3）人眼安全级别：Class 1（IEC 60825-1：2014）人眼安全；</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15、支持飞行相机，分辨率：≥1080P；夜视能力：星光级；</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16、图传最大信号有效距离（无干扰、无遮挡）：≥40公里（FCC）；</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17、无人机电池：</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（1）容量：≥20254毫安时；</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（2）重量：≤4750g；</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（3）充电环境温度：≥5℃至 45℃；</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（4）支持低温自加热充电；</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（5）循环次数：≥400次；</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18、智能电池箱：可放置3个无人机电池和2个遥控器电池；</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19、无人机遥控器：</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（1）最大信号有效距离（无干扰、无遮挡）：≥40公里（FCC）；</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（2）屏幕分辨率：≥1920×1200；</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（3）屏幕尺寸：≥7.02英寸；</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（4）最大续航时间：≥7小时；</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rPr>
              <w:t xml:space="preserve">）云台相机技术参数</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1、重量：≤980g；</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2、尺寸：≤170cm*150cm*170cm；</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3、防护等级：≥IP54；</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4、具备三轴增稳云台（俯仰，横滚，平移），能够为相机提供更加稳定的平台，使得在飞行器飞行的状态下，相机也能拍摄出稳定的画面；</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5、至少集成四个模组，包含但不限于广角相机、变焦相机、激光测距仪、近红外补光灯；</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6、广角相机：</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（1）传感器：1/1.3 英寸CMOS；</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（2）有效像素≥4800万；</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（3）等效焦距：24 mm；</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7、变焦相机：</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（1）传感器：1/1.8英寸CMOS；</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（2）有效像素：≥4000万；</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（3）光学变焦能力：≥34倍；</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（4）数码变焦能力：≥400倍；</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8、激光测距仪：</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（1）测量范围：≥3米至3000米；</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（2）测量精度：±（0.2米 + 测量距离×0.15%）（≤500 米）</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（3）安规等级：Class 1；</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9、近红外补光灯：</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（1）波长：≥850 纳米；</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（2）补光区域大小：100 米处：约直径 8 米圆形；</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10、支持联动变焦、夜景模式、智能拍照、视频预录制等功能。</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三</w:t>
            </w:r>
            <w:r>
              <w:rPr>
                <w:rFonts w:hint="eastAsia" w:ascii="宋体" w:hAnsi="宋体" w:eastAsia="宋体" w:cs="宋体"/>
                <w:b w:val="0"/>
                <w:bCs w:val="0"/>
                <w:color w:val="auto"/>
                <w:sz w:val="21"/>
                <w:szCs w:val="21"/>
                <w:highlight w:val="none"/>
              </w:rPr>
              <w:t xml:space="preserve">）气体监测模块技术参数</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1、尺寸与重量：尺寸</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60</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100</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rPr>
              <w:t xml:space="preserve">，重量≤500g；</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2、检测项目：一台气体检测仪支持同时检测9种不同污染物（不包含温湿度传感器），检测项目:氨、硫化氢、氯化氢、TVOC、CxHy、臭氧、NO2；</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3、配备有气密性的气室：通过主动进气孔和尾部风扇主动通气到密闭气室，气室中上下排列气体传感器的探头；</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4、导航卫星系统：仅支持国产化导航定位系统；</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5、具备高亮浓度警示灯提示功能：颜色和报警值可自定义，可设置为自动跟随气体浓度变化；</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6、具备独立的移动通信模块，无传输距离限制，污染物浓度数据回传或记录速率不低于1Hz，且数据支持断点续传；</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7、具备加密数据输出接口（USB Type-C），用户可以选择不使用内置移动通信模块，而使用专有设备进行加密通信；</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8、支持组网作业：一台或多台设备的数据可以在一台或多台可视化终端展示；</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9、支持在无人机官方航线规划与飞行控制软件中显示实时监测数值与设备工作状态；</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lang w:eastAsia="zh-CN"/>
              </w:rPr>
              <w:outlineLvl w:val="9"/>
            </w:pPr>
            <w:r>
              <w:rPr>
                <w:rFonts w:hint="eastAsia" w:ascii="宋体" w:hAnsi="宋体" w:eastAsia="宋体" w:cs="宋体"/>
                <w:b w:val="0"/>
                <w:bCs w:val="0"/>
                <w:color w:val="auto"/>
                <w:sz w:val="21"/>
                <w:szCs w:val="21"/>
                <w:highlight w:val="none"/>
              </w:rPr>
              <w:t xml:space="preserve">10、支持与多种车型高度集成进行走航监测，无需对车辆打孔、接线，即装即用，拆下即复原，15s可完成无损急速安装</w:t>
            </w:r>
            <w:r>
              <w:rPr>
                <w:rFonts w:hint="eastAsia" w:ascii="宋体" w:hAnsi="宋体" w:eastAsia="宋体" w:cs="宋体"/>
                <w:b w:val="0"/>
                <w:bCs w:val="0"/>
                <w:color w:val="auto"/>
                <w:sz w:val="21"/>
                <w:szCs w:val="21"/>
                <w:highlight w:val="none"/>
                <w:lang w:eastAsia="zh-CN"/>
              </w:rPr>
              <w:t xml:space="preserve">；</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lang w:eastAsia="zh-CN"/>
              </w:rPr>
              <w:outlineLvl w:val="9"/>
            </w:pPr>
            <w:r>
              <w:rPr>
                <w:rFonts w:hint="eastAsia" w:ascii="宋体" w:hAnsi="宋体" w:eastAsia="宋体" w:cs="宋体"/>
                <w:b w:val="0"/>
                <w:bCs w:val="0"/>
                <w:color w:val="auto"/>
                <w:sz w:val="21"/>
                <w:szCs w:val="21"/>
                <w:highlight w:val="none"/>
              </w:rPr>
              <w:t xml:space="preserve">11、支持气体采样功能，可同时通过无人机官方飞控软件及气体监测软件触发采气，自适应不同容量采气袋（0.5L-4L），实时监控袋内气压，采满即可自动停止，无需手动干预</w:t>
            </w:r>
            <w:r>
              <w:rPr>
                <w:rFonts w:hint="eastAsia" w:ascii="宋体" w:hAnsi="宋体" w:eastAsia="宋体" w:cs="宋体"/>
                <w:b w:val="0"/>
                <w:bCs w:val="0"/>
                <w:color w:val="auto"/>
                <w:sz w:val="21"/>
                <w:szCs w:val="21"/>
                <w:highlight w:val="none"/>
                <w:lang w:eastAsia="zh-CN"/>
              </w:rPr>
              <w:t xml:space="preserve">；</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12、支持超声波风速风向检测功能，无运动部件，具备无人机平移运动补偿算法、无人机姿态补偿算法、无人机旋转运动补偿算法，可实现边运动边测量真实风速风向信息；</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13、实时显示气体检测仪的工作状态，包括卫星数、待传数据量、相对高度、设备昵称，并且控制设备的高亮警示灯、采气泵等功能；</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14、具备数据断点续传功能，通信中断时采集到的任务数据不会丢失，且会在连接重新建立后自动追回，并显示待传数据量；</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15、每个检测项目需要具备独立的温度、湿度与压力传感器，并能在专用调参与校准软件中独立显示；同时支持质量浓度、体积浓度两种单位，用户可自由切换；</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16、实时显示空气污染物浓度时间变化曲线图；实时生成二维网格空气污染分布热力图，且网格大小实时可调；且实时生成二维等值线空气污染分布热力图；</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17、实时生成三维点云污染物浓度分布热力图，且视角可调，可点击精确显示采样点的经纬度与相对高度；</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18、污染物浓度的可视化颜色关系支持实时在软件中手动或自动调节；</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19、浓度分布热力图在地图中对应显示，地图模式可选卫星图与街道图；</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20、支持导入一个或多个历史数据任务，并可与当前任务数据同时显示；</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21、支持导入高清正射影像图（.tif格式，国际通用WGS-84坐标系），导入后会自动覆盖相应区域的地图；</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22、支持一键式导出任务报告及表格，多种数据呈现方式进行事后分析；</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23、支持将气体分布网格图与等值线图输出为带有地理信息的正射图（GeoTiff）；</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24、支持导入带有地理信息标记的图片并在地图对应位置显示；</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25、支持在同一个软件界面中实时展示多台设备回传的数据，并可选择任意一台进行跟踪，且软件安装台数不受限制，支持软件自动更新；</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26、具备调参校准功能，可远程对气体检测模块进行调参校准，可调整的参数包括每个检测项目的敏感度斜率和零点；</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27、支持将接收到的加密数据解析为明文数据，并通过UDP输出，方便用户进行二次开发；</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28、含车载安装套件，可无损安装至车辆内部，确保设备工作环境稳定。且具备散热功能套件；</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29、各检测模块参数详情：</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29.1、具备NH3监测模块，检测方式：电化学，可用量程：0~100ppm，检出限：1ppm</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29.2、具备H2S监测模块，检测方式：电化学，可用量程：0~90ppm，检出限：20ppb，</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29.3、具备HCl监测模块，检测方式：电化学，可用量程：0~100ppm，检出限：1ppm，</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29.4、具备TVOC监测模块：检测方式：光离子化监测（PID），可用量程：0~50ppm（异丁烯），检出限：1ppb，</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29.5、具备CxHy监测模块：检测方式：非分散红外吸收法（NDIR），可用量程：0~5%VOL（0~100%LEL）甲烷，或0~2%丙烷；检出限：0.01%；</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29.6、具备NO2监测模块，检测方式：电化学，可用量程：0~11ppm，检出限：5ppb，</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29.7、具备O3+NO2监测模块，检测方式：电化学，可用量程：0~11ppm，检出限：5ppb</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29.8、以上各检测模块可与站里原有气体检测仪上面检测模块对调使用。</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30、供应商</w:t>
            </w:r>
            <w:r>
              <w:rPr>
                <w:rFonts w:hint="eastAsia" w:ascii="宋体" w:hAnsi="宋体" w:eastAsia="宋体" w:cs="宋体"/>
                <w:b w:val="0"/>
                <w:bCs w:val="0"/>
                <w:color w:val="auto"/>
                <w:sz w:val="21"/>
                <w:szCs w:val="21"/>
                <w:highlight w:val="none"/>
                <w:lang w:val="en-US" w:eastAsia="zh-CN"/>
              </w:rPr>
              <w:t xml:space="preserve">签订合同时</w:t>
            </w:r>
            <w:r>
              <w:rPr>
                <w:rFonts w:hint="eastAsia" w:ascii="宋体" w:hAnsi="宋体" w:eastAsia="宋体" w:cs="宋体"/>
                <w:b w:val="0"/>
                <w:bCs w:val="0"/>
                <w:color w:val="auto"/>
                <w:sz w:val="21"/>
                <w:szCs w:val="21"/>
                <w:highlight w:val="none"/>
              </w:rPr>
              <w:t xml:space="preserve">需提供无人机和气体监测模块生产厂家针对本项目的盖章售后服务承诺函</w:t>
            </w:r>
            <w:r>
              <w:rPr>
                <w:rFonts w:hint="eastAsia" w:ascii="宋体" w:hAnsi="宋体" w:eastAsia="宋体" w:cs="宋体"/>
                <w:b w:val="0"/>
                <w:bCs w:val="0"/>
                <w:color w:val="auto"/>
                <w:sz w:val="21"/>
                <w:szCs w:val="21"/>
                <w:highlight w:val="none"/>
                <w:lang w:val="en-US" w:eastAsia="zh-CN"/>
              </w:rPr>
              <w:t xml:space="preserve">原件</w:t>
            </w:r>
            <w:r>
              <w:rPr>
                <w:rFonts w:hint="eastAsia" w:ascii="宋体" w:hAnsi="宋体" w:eastAsia="宋体" w:cs="宋体"/>
                <w:b w:val="0"/>
                <w:bCs w:val="0"/>
                <w:color w:val="auto"/>
                <w:sz w:val="21"/>
                <w:szCs w:val="21"/>
                <w:highlight w:val="none"/>
              </w:rPr>
              <w:t xml:space="preserve">。</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四</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每套标准</w:t>
            </w:r>
            <w:r>
              <w:rPr>
                <w:rFonts w:hint="eastAsia" w:ascii="宋体" w:hAnsi="宋体" w:eastAsia="宋体" w:cs="宋体"/>
                <w:b w:val="0"/>
                <w:bCs w:val="0"/>
                <w:color w:val="auto"/>
                <w:sz w:val="21"/>
                <w:szCs w:val="21"/>
                <w:highlight w:val="none"/>
              </w:rPr>
              <w:t xml:space="preserve">配置：</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1、无人机（机身险1年、三责险1年、电池1块） 1套</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2、无人机电池   2块</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3、4G图传增强模块 1套</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4、云台相机（机身险1年）1套</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5、气体监测模块 （氨、硫化氢、氯化氢、TVOC、            </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CxHy、臭氧、NO2）；  1套</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6、无人机安装支架、车载安装支架各1套</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7、专业可视化操作软件 1套 </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8、工作站  1套</w:t>
            </w:r>
            <w:r/>
          </w:p>
          <w:p>
            <w:pPr>
              <w:jc w:val="left"/>
              <w:keepLines w:val="0"/>
              <w:keepNext w:val="0"/>
              <w:pageBreakBefore w:val="0"/>
              <w:spacing w:line="240" w:lineRule="auto"/>
              <w:widowControl/>
              <w:rPr>
                <w:rFonts w:hint="default"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rPr>
              <w:t xml:space="preserve">9、</w:t>
            </w:r>
            <w:r>
              <w:rPr>
                <w:rFonts w:hint="eastAsia" w:ascii="宋体" w:hAnsi="宋体" w:cs="宋体"/>
                <w:b w:val="0"/>
                <w:bCs w:val="0"/>
                <w:color w:val="auto"/>
                <w:sz w:val="21"/>
                <w:szCs w:val="21"/>
                <w:highlight w:val="none"/>
                <w:lang w:val="en-US" w:eastAsia="zh-CN"/>
              </w:rPr>
              <w:t xml:space="preserve">双云台组件  1套</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1070Wh移动电源 1台</w:t>
            </w:r>
            <w:r/>
          </w:p>
        </w:tc>
        <w:tc>
          <w:tcPr>
            <w:shd w:val="clear" w:color="auto" w:fill="ffffff"/>
            <w:tcW w:w="88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1套</w:t>
            </w:r>
            <w:r/>
          </w:p>
        </w:tc>
      </w:tr>
      <w:tr>
        <w:trPr>
          <w:trHeight w:val="340"/>
        </w:trPr>
        <w:tc>
          <w:tcPr>
            <w:shd w:val="clear" w:color="auto" w:fill="ffffff"/>
            <w:tcW w:w="69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w:t>
            </w:r>
            <w:r/>
          </w:p>
        </w:tc>
        <w:tc>
          <w:tcPr>
            <w:shd w:val="clear" w:color="auto" w:fill="ffffff"/>
            <w:tcW w:w="16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bidi="ar-SA"/>
              </w:rPr>
              <w:t xml:space="preserve">执法排查无人机溯源系统</w:t>
            </w:r>
            <w:r/>
          </w:p>
        </w:tc>
        <w:tc>
          <w:tcPr>
            <w:shd w:val="clear" w:color="auto" w:fill="ffffff"/>
            <w:tcW w:w="631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无人机技术参数</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1、导航卫星系统：仅支持国产化导航定位系统。</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2、最大起飞重量：≤1430g</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3、尺寸（展开）：≤310*390*150mm </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3.1、最大载重：≥200g</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3.2、桨叶尺寸：≥10.8 英寸</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3.3、轴距（对角线）≤440 毫米</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4、最大水平飞行速度：≥21m/s</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5、最长飞行时间：≥49min </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6、最大抗风等级：≥12m/s  </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7、内置RTK定位模块、夜航灯</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8、广角相机：≥1/1.3 英寸 CMOS，有效像素 ≥4800 万</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8.1、等效焦距：≥24 毫米</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9、中长焦相机：≥1/1.3 英寸 CMOS，有效像素≥4800 万</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9.1、等效焦距：≥70 毫米</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10</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长焦相机：≥1/1.5 英寸 CMOS，有效像素≥4800 万</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10.1、等效焦距：≥168 毫米</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11、数字变焦（长焦）：≥16 倍（混合变焦 ≥112 倍）</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12、热成像相机</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12.1、热成像传感器类型：非制冷氧化钒（VOx）</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12.2、分辨率：≥640 × 512</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12.3、灵敏度：≤50mk@F1.0</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12.4、测温方式：点测温、区域测温</w:t>
            </w:r>
            <w:r/>
          </w:p>
          <w:p>
            <w:pPr>
              <w:jc w:val="left"/>
              <w:keepLines w:val="0"/>
              <w:keepNext w:val="0"/>
              <w:pageBreakBefore w:val="0"/>
              <w:spacing w:line="240" w:lineRule="auto"/>
              <w:widowControl/>
              <w:rPr>
                <w:rFonts w:hint="default"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rPr>
              <w:t xml:space="preserve">12.5、调色盘：</w:t>
            </w:r>
            <w:r>
              <w:rPr>
                <w:rFonts w:hint="eastAsia" w:ascii="宋体" w:hAnsi="宋体" w:eastAsia="宋体" w:cs="宋体"/>
                <w:b w:val="0"/>
                <w:bCs w:val="0"/>
                <w:color w:val="auto"/>
                <w:sz w:val="21"/>
                <w:szCs w:val="21"/>
                <w:highlight w:val="none"/>
                <w:lang w:val="en-US" w:eastAsia="zh-CN"/>
              </w:rPr>
              <w:t xml:space="preserve">不低于5种</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12.6视频分辨率：≥1280 × 1024@30fps（开启超分且夜景模式未打开）</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13、支持前视、后视、侧视、下视感知避障</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14、最大信号有效距离（无干扰、无遮挡）：≥25公里</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15、遥控器屏幕</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15.1屏幕分辨率：≥1920 × 1200</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15.2屏幕尺寸：≥7英寸</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15.3屏幕亮度：≥1400 尼特</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气体监测模块技术参数</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1、尺寸与重量：尺寸≤120*80*80（mm），重量≤200g；</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2、检测项目：一台气体检测仪最多支持同时检测6种不同（参数）污染物（不包含温湿度传感器），检测项目：氨、硫化氢、氯化氢、CxHy和恶臭；</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3、供电方式：由无人机E-port接口提供电源供电；</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4、支持点云、六边形网格、插值图等可视化形式，直观呈现空间分布特征。</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5、应具备软件端网格内可展示平均值、最大值、最小值等多个指标，增强对比和综合判断能力。</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6、应具备数据实时加密传输功能（正常模式下1Hz，对单个检测模块进行校准时不低于3Hz），且具备数据断点续传功能，当通讯中断时最高可临时储存9小时任务数据，待通讯恢复后自动重新传输；</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7、应具备工作状态指示LED灯，显示传感总成、卫星定位模块、SD卡、移动通信模块、无人机连接、外置仪器的工作状态；</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8、可提供可嵌入 HTML 模块，用户可将地图与图表直接集成至自有平台。</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9、可提供完整 API 接口，支持任务管理、数据查询、统计分析等操作，便于业务系统集成。</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10、应具备SD卡数据备份模块，支持设备自动备份任务数据，且储存的任务数据可在配套的分析软件中读取与分析。</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11、应支持将实时或历史风场数据叠加至地图视图，以流线动态展示，帮助用户更直观地判断污染物的传播路径、扩散趋势及可能的影响区域。该功能尤其适用于突发泄漏事件分析、溯源判断及应急响应辅助决策。</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12、各检测模块参数详情：</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12.1、具备NH3监测模块，检测方式：电化学，可用量程：0~100ppm，检出限：1ppm</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12.2、具备H2S监测模块，检测方式：电化学，可用量程：0~90ppm，检出限：20ppb</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12.3、具备HCl监测模块，检测方式：电化学，可用量程：0~100ppm，检出限：1ppm</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12.4、具备CxHy监测模块，检测方式：非分散红外吸收法（NDIR），可用量程：0~5%VOL（0~100%LEL）甲烷，或0~2%丙烷；检出限：0.01%/100ppm</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12.5、具备恶臭OU监测模块，检测方式：电化学，可用量程：0~10ppm，检出限：~0.1ppm</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12.6、以上各检测模块可与站里原有气体检测仪上面检测模块对调使用。</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13、支持加载GeoTIFF等格式的高分辨率正射影像，用于增强地图背景的真实感。特别是在部分地图服务未更新或低清晰度区域，正射影像可精准还原地面环境。</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14、支持加载gltf、glb等格式的城市建筑或场景模型，将监测数据叠加至真实空间结构中，提升可视化效果和空间理解力。适用于工业园区、城市监测等精细化展示需求。</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15、毫秒级接入设备数据，支持远程启停任务实现数据精准入库；浓度折线图与轨迹图实时渲染联动，所有图层均支持2D/3D视角，可任意切换点云和六边形网格，网格内显示均值/极值，颜色映射支持AQI、线性渐变以及自定义分段，颜色直观呈现气体浓度分布。</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16、</w:t>
            </w:r>
            <w:r>
              <w:rPr>
                <w:rFonts w:hint="eastAsia" w:ascii="宋体" w:hAnsi="宋体" w:eastAsia="宋体" w:cs="宋体"/>
                <w:b w:val="0"/>
                <w:bCs w:val="0"/>
                <w:color w:val="auto"/>
                <w:sz w:val="21"/>
                <w:szCs w:val="21"/>
                <w:highlight w:val="none"/>
                <w:lang w:val="en-US" w:eastAsia="zh-CN"/>
              </w:rPr>
              <w:t xml:space="preserve">签订合同时</w:t>
            </w:r>
            <w:r>
              <w:rPr>
                <w:rFonts w:hint="eastAsia" w:ascii="宋体" w:hAnsi="宋体" w:eastAsia="宋体" w:cs="宋体"/>
                <w:b w:val="0"/>
                <w:bCs w:val="0"/>
                <w:color w:val="auto"/>
                <w:sz w:val="21"/>
                <w:szCs w:val="21"/>
                <w:highlight w:val="none"/>
              </w:rPr>
              <w:t xml:space="preserve">供应商</w:t>
            </w:r>
            <w:r>
              <w:rPr>
                <w:rFonts w:hint="eastAsia" w:ascii="宋体" w:hAnsi="宋体" w:cs="宋体"/>
                <w:b w:val="0"/>
                <w:bCs w:val="0"/>
                <w:color w:val="auto"/>
                <w:sz w:val="21"/>
                <w:szCs w:val="21"/>
                <w:highlight w:val="none"/>
                <w:lang w:val="en-US" w:eastAsia="zh-CN"/>
              </w:rPr>
              <w:t xml:space="preserve">须</w:t>
            </w:r>
            <w:r>
              <w:rPr>
                <w:rFonts w:hint="eastAsia" w:ascii="宋体" w:hAnsi="宋体" w:eastAsia="宋体" w:cs="宋体"/>
                <w:b w:val="0"/>
                <w:bCs w:val="0"/>
                <w:color w:val="auto"/>
                <w:sz w:val="21"/>
                <w:szCs w:val="21"/>
                <w:highlight w:val="none"/>
              </w:rPr>
              <w:t xml:space="preserve">提供无人机和气体监测模块生产厂家针对本项目的盖章售后服务承诺函</w:t>
            </w:r>
            <w:r>
              <w:rPr>
                <w:rFonts w:hint="eastAsia" w:ascii="宋体" w:hAnsi="宋体" w:eastAsia="宋体" w:cs="宋体"/>
                <w:b w:val="0"/>
                <w:bCs w:val="0"/>
                <w:color w:val="auto"/>
                <w:sz w:val="21"/>
                <w:szCs w:val="21"/>
                <w:highlight w:val="none"/>
                <w:lang w:val="en-US" w:eastAsia="zh-CN"/>
              </w:rPr>
              <w:t xml:space="preserve">原件</w:t>
            </w:r>
            <w:r>
              <w:rPr>
                <w:rFonts w:hint="eastAsia" w:ascii="宋体" w:hAnsi="宋体" w:eastAsia="宋体" w:cs="宋体"/>
                <w:b w:val="0"/>
                <w:bCs w:val="0"/>
                <w:color w:val="auto"/>
                <w:sz w:val="21"/>
                <w:szCs w:val="21"/>
                <w:highlight w:val="none"/>
              </w:rPr>
              <w:t xml:space="preserve">。</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每套标准</w:t>
            </w:r>
            <w:r>
              <w:rPr>
                <w:rFonts w:hint="eastAsia" w:ascii="宋体" w:hAnsi="宋体" w:eastAsia="宋体" w:cs="宋体"/>
                <w:b w:val="0"/>
                <w:bCs w:val="0"/>
                <w:color w:val="auto"/>
                <w:sz w:val="21"/>
                <w:szCs w:val="21"/>
                <w:highlight w:val="none"/>
              </w:rPr>
              <w:t xml:space="preserve">配置：</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1、无人机（含机身险</w:t>
            </w:r>
            <w:r>
              <w:rPr>
                <w:rFonts w:hint="eastAsia" w:ascii="宋体" w:hAnsi="宋体" w:cs="宋体"/>
                <w:b w:val="0"/>
                <w:bCs w:val="0"/>
                <w:color w:val="auto"/>
                <w:sz w:val="21"/>
                <w:szCs w:val="21"/>
                <w:highlight w:val="none"/>
                <w:lang w:val="en-US" w:eastAsia="zh-CN"/>
              </w:rPr>
              <w:t xml:space="preserve">1年</w:t>
            </w:r>
            <w:r>
              <w:rPr>
                <w:rFonts w:hint="eastAsia" w:ascii="宋体" w:hAnsi="宋体" w:eastAsia="宋体" w:cs="宋体"/>
                <w:b w:val="0"/>
                <w:bCs w:val="0"/>
                <w:color w:val="auto"/>
                <w:sz w:val="21"/>
                <w:szCs w:val="21"/>
                <w:highlight w:val="none"/>
              </w:rPr>
              <w:t xml:space="preserve">、电池1块） </w:t>
            </w:r>
            <w:r/>
          </w:p>
          <w:p>
            <w:pPr>
              <w:jc w:val="left"/>
              <w:keepLines w:val="0"/>
              <w:keepNext w:val="0"/>
              <w:pageBreakBefore w:val="0"/>
              <w:spacing w:line="240" w:lineRule="auto"/>
              <w:widowControl/>
              <w:rPr>
                <w:rFonts w:hint="default"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rPr>
              <w:t xml:space="preserve">2、无人机电池</w:t>
            </w:r>
            <w:r>
              <w:rPr>
                <w:rFonts w:hint="eastAsia" w:ascii="宋体" w:hAnsi="宋体" w:cs="宋体"/>
                <w:b w:val="0"/>
                <w:bCs w:val="0"/>
                <w:color w:val="auto"/>
                <w:sz w:val="21"/>
                <w:szCs w:val="21"/>
                <w:highlight w:val="none"/>
                <w:lang w:val="en-US" w:eastAsia="zh-CN"/>
              </w:rPr>
              <w:t xml:space="preserve">1块</w:t>
            </w:r>
            <w:r/>
          </w:p>
          <w:p>
            <w:pPr>
              <w:jc w:val="left"/>
              <w:keepLines w:val="0"/>
              <w:keepNext w:val="0"/>
              <w:pageBreakBefore w:val="0"/>
              <w:spacing w:line="240" w:lineRule="auto"/>
              <w:widowControl/>
              <w:rPr>
                <w:rFonts w:hint="default"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rPr>
              <w:t xml:space="preserve">3、增强图传模块</w:t>
            </w:r>
            <w:r>
              <w:rPr>
                <w:rFonts w:hint="eastAsia" w:ascii="宋体" w:hAnsi="宋体" w:cs="宋体"/>
                <w:b w:val="0"/>
                <w:bCs w:val="0"/>
                <w:color w:val="auto"/>
                <w:sz w:val="21"/>
                <w:szCs w:val="21"/>
                <w:highlight w:val="none"/>
                <w:lang w:val="en-US" w:eastAsia="zh-CN"/>
              </w:rPr>
              <w:t xml:space="preserve">1套</w:t>
            </w:r>
            <w:r/>
          </w:p>
          <w:p>
            <w:pPr>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4、气体监测模块 </w:t>
            </w:r>
            <w:r>
              <w:rPr>
                <w:rFonts w:hint="eastAsia" w:ascii="宋体" w:hAnsi="宋体" w:cs="宋体"/>
                <w:b w:val="0"/>
                <w:bCs w:val="0"/>
                <w:color w:val="auto"/>
                <w:sz w:val="21"/>
                <w:szCs w:val="21"/>
                <w:highlight w:val="none"/>
                <w:lang w:val="en-US" w:eastAsia="zh-CN"/>
              </w:rPr>
              <w:t xml:space="preserve">1套</w:t>
            </w:r>
            <w:r>
              <w:rPr>
                <w:rFonts w:hint="eastAsia" w:ascii="宋体" w:hAnsi="宋体" w:eastAsia="宋体" w:cs="宋体"/>
                <w:b w:val="0"/>
                <w:bCs w:val="0"/>
                <w:color w:val="auto"/>
                <w:sz w:val="21"/>
                <w:szCs w:val="21"/>
                <w:highlight w:val="none"/>
              </w:rPr>
              <w:t xml:space="preserve">（氨、硫化氢、氯化氢、CxHy和恶臭）  </w:t>
            </w:r>
            <w:r/>
          </w:p>
          <w:p>
            <w:pPr>
              <w:jc w:val="left"/>
              <w:keepLines w:val="0"/>
              <w:keepNext w:val="0"/>
              <w:pageBreakBefore w:val="0"/>
              <w:spacing w:line="240" w:lineRule="auto"/>
              <w:widowControl/>
              <w:rPr>
                <w:rFonts w:hint="default"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rPr>
              <w:t xml:space="preserve">5、安装套件 </w:t>
            </w:r>
            <w:r>
              <w:rPr>
                <w:rFonts w:hint="eastAsia" w:ascii="宋体" w:hAnsi="宋体" w:cs="宋体"/>
                <w:b w:val="0"/>
                <w:bCs w:val="0"/>
                <w:color w:val="auto"/>
                <w:sz w:val="21"/>
                <w:szCs w:val="21"/>
                <w:highlight w:val="none"/>
                <w:lang w:val="en-US" w:eastAsia="zh-CN"/>
              </w:rPr>
              <w:t xml:space="preserve">1个</w:t>
            </w:r>
            <w:r/>
          </w:p>
        </w:tc>
        <w:tc>
          <w:tcPr>
            <w:shd w:val="clear" w:color="auto" w:fill="ffffff"/>
            <w:tcW w:w="88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1套</w:t>
            </w:r>
            <w:r/>
          </w:p>
        </w:tc>
      </w:tr>
      <w:tr>
        <w:trPr>
          <w:trHeight w:val="340"/>
        </w:trPr>
        <w:tc>
          <w:tcPr>
            <w:shd w:val="clear" w:color="auto" w:fill="ffffff"/>
            <w:tcW w:w="69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3</w:t>
            </w:r>
            <w:r/>
          </w:p>
        </w:tc>
        <w:tc>
          <w:tcPr>
            <w:shd w:val="clear" w:color="auto" w:fill="ffffff"/>
            <w:tcW w:w="16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CN" w:bidi="ar-SA"/>
              </w:rPr>
              <w:t xml:space="preserve">手持式恶臭气体检测仪  </w:t>
            </w:r>
            <w:r/>
          </w:p>
        </w:tc>
        <w:tc>
          <w:tcPr>
            <w:shd w:val="clear" w:color="auto" w:fill="ffffff"/>
            <w:tcW w:w="6316" w:type="dxa"/>
            <w:vAlign w:val="center"/>
            <w:textDirection w:val="lrTb"/>
            <w:noWrap w:val="false"/>
          </w:tcPr>
          <w:p>
            <w:pPr>
              <w:jc w:val="left"/>
              <w:keepLines w:val="0"/>
              <w:keepNext w:val="0"/>
              <w:pageBreakBefore w:val="0"/>
              <w:spacing w:line="240" w:lineRule="auto"/>
              <w:widowControl/>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（一）技术参数</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1、支持多种传感器，多传感器、多种检测模式。</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2、支持多气体浓度动态曲线同时显示和详情显示，方便用户观测污染物变化。</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3、内置大于100种气体数据库，方便使用者选择，使检测结果更准确。</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4、可根据需求选择气体传感器模块，无需进行配置，即插即用</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5、默认泵吸式测量方式，方便狭小空间采样便于查找泄漏点</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6、实时测量大气压、环境温度、环境相对湿度等参数。</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7、内置大容量锂电池，可连续工作8小时。</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8、Type-c充电接口，普通手机充电器即可给仪器充电。</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9、采用不低于4英寸触摸屏</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10、可独立设置不同种类有毒有害气体的限值：TWA、STEL、MAC。</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11、仪器报警后提示相应的处理方式以及应急预案。</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12、具有umol/mol和mg/m3双单位换算功能。</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13、手持式，体积小重量轻，操作简单。</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14、配备可调节挂绳，预防仪器跌落损坏。</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15、提供USB接口，可U盘导出数据，便于后期数据记录处理。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16、外壳防护等级IP65</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17. 主机防爆等级不低于Ex ib IIC T5 Gb </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（二）基础参数</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1、持续工作时间：不少于8h</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2、环境温度：（-20~45）℃</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3、环境湿度：（0~95）%RH</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4、大气压：（50~130）kPa</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5、数据存储：大于5000组</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6、功耗：＜3W</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7、工作电源：内置锂电池不小于3Ah，同时可外接电源适配器</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8、常用传感器技术参数：OU检测模块：（0~500）OU；分辨率：1OU。</w:t>
            </w:r>
            <w:r/>
          </w:p>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Hans" w:bidi="ar-SA"/>
              </w:rPr>
              <w:outlineLvl w:val="9"/>
            </w:pP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val="en-US" w:eastAsia="zh-CN" w:bidi="ar-SA"/>
              </w:rPr>
              <w:t xml:space="preserve">每套</w:t>
            </w:r>
            <w:r>
              <w:rPr>
                <w:rFonts w:hint="eastAsia" w:ascii="宋体" w:hAnsi="宋体" w:eastAsia="宋体" w:cs="宋体"/>
                <w:color w:val="auto"/>
                <w:sz w:val="21"/>
                <w:szCs w:val="21"/>
                <w:highlight w:val="none"/>
                <w:lang w:val="en-US" w:eastAsia="zh-Hans" w:bidi="ar-SA"/>
              </w:rPr>
              <w:t xml:space="preserve">标准配置</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1、主机</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2、OU检测模块</w:t>
            </w:r>
            <w:r/>
          </w:p>
        </w:tc>
        <w:tc>
          <w:tcPr>
            <w:shd w:val="clear" w:color="auto" w:fill="ffffff"/>
            <w:tcW w:w="88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CN" w:bidi="ar-SA"/>
              </w:rPr>
              <w:t xml:space="preserve">2套</w:t>
            </w:r>
            <w:r/>
          </w:p>
        </w:tc>
      </w:tr>
      <w:tr>
        <w:trPr>
          <w:trHeight w:val="340"/>
        </w:trPr>
        <w:tc>
          <w:tcPr>
            <w:shd w:val="clear" w:color="auto" w:fill="ffffff"/>
            <w:tcW w:w="69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4</w:t>
            </w:r>
            <w:r/>
          </w:p>
        </w:tc>
        <w:tc>
          <w:tcPr>
            <w:shd w:val="clear" w:color="auto" w:fill="ffffff"/>
            <w:tcW w:w="16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CN" w:bidi="ar-SA"/>
              </w:rPr>
              <w:t xml:space="preserve">环境气体应急检测仪  </w:t>
            </w:r>
            <w:r/>
          </w:p>
        </w:tc>
        <w:tc>
          <w:tcPr>
            <w:shd w:val="clear" w:color="auto" w:fill="ffffff"/>
            <w:tcW w:w="631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（一）技术参数</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仪器分体式设计，可通过智能显示终端对主机进行控制</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应对不同工况，智能显示终端与主机采用有线或无线双传输模式</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智能显示终端采用高亮触摸液晶屏，操作界面简单友好，数据呈现直观</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气体传感器模块化设计，可根据需求搭配相应的传感器模块，无需进行配置，仪器自动获取传感器信息</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气体模块之间为快接设计，无需手动拆卸螺丝进行连接，使用更便捷</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6</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配备人机工程学箱包，无需取出仪器即可快速开展检测工作</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实时测量大气压、环境温度、环境相对湿度参数</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可独立设置不同种类有毒有害气体的限值：TWA、STEL、MAC</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9</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仪器自带报警灯提示，在智能显示终端不在身边时，也可提醒气体浓度超标</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10</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具有umol/mol和mg/m3双单位换算功能</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防护等级不低于IP65</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 主机防爆等级不低于Ex d ib IIB T3 Gb </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设备具有计量器具型式批准证书，并涵盖硫化氢（H2S）等气体因子</w:t>
            </w:r>
            <w:r/>
          </w:p>
          <w:p>
            <w:pPr>
              <w:pStyle w:val="937"/>
              <w:ind w:left="0" w:firstLine="0"/>
              <w:keepLines w:val="0"/>
              <w:keepNext w:val="0"/>
              <w:pageBreakBefore w:val="0"/>
              <w:spacing w:line="24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en-US" w:eastAsia="zh-Hans"/>
              </w:rPr>
              <w:t xml:space="preserve">技术指标</w:t>
            </w:r>
            <w:r/>
          </w:p>
          <w:p>
            <w:pP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数据存储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大于5000组</w:t>
            </w:r>
            <w:r/>
          </w:p>
          <w:p>
            <w:pP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工作电源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内置锂电池(7.4V/3.5Ah)或外接5V/3.5A电源适配器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控制模块（7.4V/6.8Ah）或5V/3.5A电源适配器</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硫化氢：（0-50）umol/mol；分辨率：0.01umol/mol；</w:t>
            </w:r>
            <w:r/>
          </w:p>
          <w:p>
            <w:pPr>
              <w:pStyle w:val="937"/>
              <w:keepLines w:val="0"/>
              <w:keepNext w:val="0"/>
              <w:pageBreakBefore w:val="0"/>
              <w:spacing w:line="24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bidi="ar-SA"/>
              </w:rPr>
              <w:t xml:space="preserve">氨气：（0-100）umol/mol</w:t>
            </w:r>
            <w:r>
              <w:rPr>
                <w:rFonts w:hint="eastAsia" w:ascii="宋体" w:hAnsi="宋体" w:eastAsia="宋体" w:cs="宋体"/>
                <w:color w:val="auto"/>
                <w:sz w:val="21"/>
                <w:szCs w:val="21"/>
                <w:highlight w:val="none"/>
                <w:lang w:val="en-US" w:eastAsia="zh-CN"/>
              </w:rPr>
              <w:t xml:space="preserve">；分辨率：</w:t>
            </w:r>
            <w:r>
              <w:rPr>
                <w:rFonts w:hint="eastAsia" w:ascii="宋体" w:hAnsi="宋体" w:eastAsia="宋体" w:cs="宋体"/>
                <w:color w:val="auto"/>
                <w:sz w:val="21"/>
                <w:szCs w:val="21"/>
                <w:highlight w:val="none"/>
                <w:lang w:val="en-US" w:eastAsia="zh-CN" w:bidi="ar-SA"/>
              </w:rPr>
              <w:t xml:space="preserve">0.01umol/mol</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挥发性有机物</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（0-20）umol/mol</w:t>
            </w:r>
            <w:r>
              <w:rPr>
                <w:rFonts w:hint="eastAsia" w:ascii="宋体" w:hAnsi="宋体" w:eastAsia="宋体" w:cs="宋体"/>
                <w:color w:val="auto"/>
                <w:sz w:val="21"/>
                <w:szCs w:val="21"/>
                <w:highlight w:val="none"/>
                <w:lang w:val="en-US" w:eastAsia="zh-CN"/>
              </w:rPr>
              <w:t xml:space="preserve">；分辨率：</w:t>
            </w:r>
            <w:r>
              <w:rPr>
                <w:rFonts w:hint="eastAsia" w:ascii="宋体" w:hAnsi="宋体" w:eastAsia="宋体" w:cs="宋体"/>
                <w:color w:val="auto"/>
                <w:sz w:val="21"/>
                <w:szCs w:val="21"/>
                <w:highlight w:val="none"/>
                <w:lang w:val="en-US" w:eastAsia="zh-CN" w:bidi="ar-SA"/>
              </w:rPr>
              <w:t xml:space="preserve">0.001umol/mol；</w:t>
            </w:r>
            <w:r/>
          </w:p>
          <w:p>
            <w:pPr>
              <w:pStyle w:val="937"/>
              <w:keepLines w:val="0"/>
              <w:keepNext w:val="0"/>
              <w:pageBreakBefore w:val="0"/>
              <w:spacing w:line="24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bidi="ar-SA"/>
              </w:rPr>
              <w:t xml:space="preserve">氯化氢</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（0-20）umol/mol</w:t>
            </w:r>
            <w:r>
              <w:rPr>
                <w:rFonts w:hint="eastAsia" w:ascii="宋体" w:hAnsi="宋体" w:eastAsia="宋体" w:cs="宋体"/>
                <w:color w:val="auto"/>
                <w:sz w:val="21"/>
                <w:szCs w:val="21"/>
                <w:highlight w:val="none"/>
                <w:lang w:val="en-US" w:eastAsia="zh-CN"/>
              </w:rPr>
              <w:t xml:space="preserve">；分辨率：</w:t>
            </w:r>
            <w:r>
              <w:rPr>
                <w:rFonts w:hint="eastAsia" w:ascii="宋体" w:hAnsi="宋体" w:eastAsia="宋体" w:cs="宋体"/>
                <w:color w:val="auto"/>
                <w:sz w:val="21"/>
                <w:szCs w:val="21"/>
                <w:highlight w:val="none"/>
                <w:lang w:val="en-US" w:eastAsia="zh-CN" w:bidi="ar-SA"/>
              </w:rPr>
              <w:t xml:space="preserve">0.01umol/mol；</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bidi="ar-SA"/>
              </w:rPr>
              <w:t xml:space="preserve">环境温度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（-40~120）℃</w:t>
            </w:r>
            <w:r>
              <w:rPr>
                <w:rFonts w:hint="eastAsia" w:ascii="宋体" w:hAnsi="宋体" w:eastAsia="宋体" w:cs="宋体"/>
                <w:color w:val="auto"/>
                <w:sz w:val="21"/>
                <w:szCs w:val="21"/>
                <w:highlight w:val="none"/>
                <w:lang w:val="en-US" w:eastAsia="zh-CN"/>
              </w:rPr>
              <w:t xml:space="preserve">；分辨率：</w:t>
            </w:r>
            <w:r>
              <w:rPr>
                <w:rFonts w:hint="eastAsia" w:ascii="宋体" w:hAnsi="宋体" w:eastAsia="宋体" w:cs="宋体"/>
                <w:color w:val="auto"/>
                <w:sz w:val="21"/>
                <w:szCs w:val="21"/>
                <w:highlight w:val="none"/>
                <w:lang w:val="en-US" w:eastAsia="zh-CN" w:bidi="ar-SA"/>
              </w:rPr>
              <w:t xml:space="preserve">0.1℃；</w:t>
            </w:r>
            <w:r/>
          </w:p>
          <w:p>
            <w:pPr>
              <w:pStyle w:val="937"/>
              <w:keepLines w:val="0"/>
              <w:keepNext w:val="0"/>
              <w:pageBreakBefore w:val="0"/>
              <w:spacing w:line="24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bidi="ar-SA"/>
              </w:rPr>
              <w:t xml:space="preserve">环境湿度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（0~100）%RH</w:t>
            </w:r>
            <w:r>
              <w:rPr>
                <w:rFonts w:hint="eastAsia" w:ascii="宋体" w:hAnsi="宋体" w:eastAsia="宋体" w:cs="宋体"/>
                <w:color w:val="auto"/>
                <w:sz w:val="21"/>
                <w:szCs w:val="21"/>
                <w:highlight w:val="none"/>
                <w:lang w:val="en-US" w:eastAsia="zh-CN"/>
              </w:rPr>
              <w:t xml:space="preserve">；分辨率：</w:t>
            </w:r>
            <w:r>
              <w:rPr>
                <w:rFonts w:hint="eastAsia" w:ascii="宋体" w:hAnsi="宋体" w:eastAsia="宋体" w:cs="宋体"/>
                <w:color w:val="auto"/>
                <w:sz w:val="21"/>
                <w:szCs w:val="21"/>
                <w:highlight w:val="none"/>
                <w:lang w:val="en-US" w:eastAsia="zh-CN" w:bidi="ar-SA"/>
              </w:rPr>
              <w:t xml:space="preserve">0.01%RH；</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bidi="ar-SA"/>
              </w:rPr>
              <w:t xml:space="preserve">大气压</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（50~130）kPa</w:t>
            </w:r>
            <w:r>
              <w:rPr>
                <w:rFonts w:hint="eastAsia" w:ascii="宋体" w:hAnsi="宋体" w:eastAsia="宋体" w:cs="宋体"/>
                <w:color w:val="auto"/>
                <w:sz w:val="21"/>
                <w:szCs w:val="21"/>
                <w:highlight w:val="none"/>
                <w:lang w:val="en-US" w:eastAsia="zh-CN"/>
              </w:rPr>
              <w:t xml:space="preserve">；分辨率：</w:t>
            </w:r>
            <w:r>
              <w:rPr>
                <w:rFonts w:hint="eastAsia" w:ascii="宋体" w:hAnsi="宋体" w:eastAsia="宋体" w:cs="宋体"/>
                <w:color w:val="auto"/>
                <w:sz w:val="21"/>
                <w:szCs w:val="21"/>
                <w:highlight w:val="none"/>
                <w:lang w:val="en-US" w:eastAsia="zh-CN" w:bidi="ar-SA"/>
              </w:rPr>
              <w:t xml:space="preserve">0.01kPa。</w:t>
            </w:r>
            <w:r/>
          </w:p>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Hans" w:bidi="ar-SA"/>
              </w:rPr>
              <w:outlineLvl w:val="9"/>
            </w:pPr>
            <w:r>
              <w:rPr>
                <w:rFonts w:hint="eastAsia" w:ascii="宋体" w:hAnsi="宋体" w:eastAsia="宋体" w:cs="宋体"/>
                <w:color w:val="auto"/>
                <w:sz w:val="21"/>
                <w:szCs w:val="21"/>
                <w:highlight w:val="none"/>
                <w:lang w:val="en-US" w:eastAsia="zh-CN" w:bidi="ar-SA"/>
              </w:rPr>
              <w:t xml:space="preserve">（三）每套</w:t>
            </w:r>
            <w:r>
              <w:rPr>
                <w:rFonts w:hint="eastAsia" w:ascii="宋体" w:hAnsi="宋体" w:eastAsia="宋体" w:cs="宋体"/>
                <w:color w:val="auto"/>
                <w:sz w:val="21"/>
                <w:szCs w:val="21"/>
                <w:highlight w:val="none"/>
                <w:lang w:val="en-US" w:eastAsia="zh-Hans" w:bidi="ar-SA"/>
              </w:rPr>
              <w:t xml:space="preserve">标准配置</w:t>
            </w:r>
            <w:r/>
          </w:p>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1、主机</w:t>
            </w:r>
            <w:r/>
          </w:p>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Hans" w:bidi="ar-SA"/>
              </w:rPr>
              <w:t xml:space="preserve">检测模块</w:t>
            </w:r>
            <w:r>
              <w:rPr>
                <w:rFonts w:hint="eastAsia" w:ascii="宋体" w:hAnsi="宋体" w:eastAsia="宋体" w:cs="宋体"/>
                <w:color w:val="auto"/>
                <w:sz w:val="21"/>
                <w:szCs w:val="21"/>
                <w:highlight w:val="none"/>
                <w:lang w:val="en-US" w:eastAsia="zh-CN" w:bidi="ar-SA"/>
              </w:rPr>
              <w:t xml:space="preserve">（硫化氢、氨气、挥发性有机物、氯化氢）</w:t>
            </w:r>
            <w:r/>
          </w:p>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Hans" w:bidi="ar-SA"/>
              </w:rPr>
              <w:outlineLvl w:val="9"/>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Hans" w:bidi="ar-SA"/>
              </w:rPr>
              <w:t xml:space="preserve">平板手操器</w:t>
            </w:r>
            <w:r>
              <w:rPr>
                <w:rFonts w:hint="eastAsia" w:ascii="宋体" w:hAnsi="宋体" w:eastAsia="宋体" w:cs="宋体"/>
                <w:color w:val="auto"/>
                <w:sz w:val="21"/>
                <w:szCs w:val="21"/>
                <w:highlight w:val="none"/>
                <w:lang w:val="en-US" w:eastAsia="zh-CN" w:bidi="ar-SA"/>
              </w:rPr>
              <w:t xml:space="preserve">  </w:t>
            </w:r>
            <w:r/>
          </w:p>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bidi="ar-SA"/>
              </w:rPr>
              <w:t xml:space="preserve">4、工具包</w:t>
            </w:r>
            <w:r/>
          </w:p>
        </w:tc>
        <w:tc>
          <w:tcPr>
            <w:shd w:val="clear" w:color="auto" w:fill="ffffff"/>
            <w:tcW w:w="88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CN" w:bidi="ar-SA"/>
              </w:rPr>
              <w:t xml:space="preserve">2套</w:t>
            </w:r>
            <w:r/>
          </w:p>
        </w:tc>
      </w:tr>
      <w:tr>
        <w:trPr>
          <w:trHeight w:val="340"/>
        </w:trPr>
        <w:tc>
          <w:tcPr>
            <w:shd w:val="clear" w:color="auto" w:fill="ffffff"/>
            <w:tcW w:w="69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5</w:t>
            </w:r>
            <w:r/>
          </w:p>
        </w:tc>
        <w:tc>
          <w:tcPr>
            <w:shd w:val="clear" w:color="auto" w:fill="ffffff"/>
            <w:tcW w:w="16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CN" w:bidi="ar-SA"/>
              </w:rPr>
              <w:t xml:space="preserve">有毒有害气体检测仪</w:t>
            </w:r>
            <w:r/>
          </w:p>
        </w:tc>
        <w:tc>
          <w:tcPr>
            <w:shd w:val="clear" w:color="auto" w:fill="ffffff"/>
            <w:tcW w:w="6316"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（一）技术参数：</w:t>
            </w:r>
            <w:r/>
          </w:p>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1、支持中英文菜单，更友好的用户使用体验</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2、泵吸进样方式</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3、内置加速度传感器、配合人员跌倒报警以及无线功能，实时传输气体浓度以及仪器状态</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4、自动背光，屏幕显示360°翻转，显示无死角，方便观察</w:t>
            </w:r>
            <w:r/>
          </w:p>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5、传感器、过滤器、采样泵及电池容易更换</w:t>
            </w:r>
            <w:r/>
          </w:p>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6、内置采样泵，可以实现长达30米的采样距离</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7、支持超过30种智能传感器，包括PID检测VOC，NDIR检测CO2，传感器即插即用</w:t>
            </w:r>
            <w:r/>
          </w:p>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8、Micro-USB充电，方便快捷</w:t>
            </w:r>
            <w:r/>
          </w:p>
          <w:p>
            <w:pPr>
              <w:pStyle w:val="961"/>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auto"/>
                <w:sz w:val="21"/>
                <w:szCs w:val="21"/>
                <w:highlight w:val="none"/>
                <w:lang w:val="en-US" w:eastAsia="zh-CN"/>
              </w:rPr>
              <w:t xml:space="preserve">（二）传感器参数：</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氧气（O2）：（量程）0-30%Vol；（检测分辨率）0.1Vol；</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可燃气（LEL）：（量程）0-100%LEL；（检测分辨率）1%LEL；</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一氧化碳（CO）</w:t>
            </w:r>
            <w:r>
              <w:rPr>
                <w:rFonts w:hint="eastAsia" w:ascii="宋体" w:hAnsi="宋体" w:eastAsia="宋体" w:cs="宋体"/>
                <w:color w:val="auto"/>
                <w:sz w:val="21"/>
                <w:szCs w:val="21"/>
                <w:highlight w:val="none"/>
                <w:lang w:val="en-US" w:eastAsia="zh-CN"/>
              </w:rPr>
              <w:t xml:space="preserve">：（量程）0-2000ppm ；（检测分辨率）1ppm；</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硫化氢（H2S）</w:t>
            </w:r>
            <w:r>
              <w:rPr>
                <w:rFonts w:hint="eastAsia" w:ascii="宋体" w:hAnsi="宋体" w:eastAsia="宋体" w:cs="宋体"/>
                <w:color w:val="auto"/>
                <w:sz w:val="21"/>
                <w:szCs w:val="21"/>
                <w:highlight w:val="none"/>
                <w:lang w:val="en-US" w:eastAsia="zh-CN"/>
              </w:rPr>
              <w:t xml:space="preserve">：（量程）0-100ppm；（检测分辨率）0.1ppm；</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氨气（NH3）：（量程）0-100ppm；（检测分辨率）1ppm；</w:t>
            </w:r>
            <w:r/>
          </w:p>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Hans" w:bidi="ar-SA"/>
              </w:rPr>
              <w:outlineLvl w:val="9"/>
            </w:pP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val="en-US" w:eastAsia="zh-CN" w:bidi="ar-SA"/>
              </w:rPr>
              <w:t xml:space="preserve">每套</w:t>
            </w:r>
            <w:r>
              <w:rPr>
                <w:rFonts w:hint="eastAsia" w:ascii="宋体" w:hAnsi="宋体" w:eastAsia="宋体" w:cs="宋体"/>
                <w:color w:val="auto"/>
                <w:sz w:val="21"/>
                <w:szCs w:val="21"/>
                <w:highlight w:val="none"/>
                <w:lang w:val="en-US" w:eastAsia="zh-Hans" w:bidi="ar-SA"/>
              </w:rPr>
              <w:t xml:space="preserve">标准配置</w:t>
            </w:r>
            <w:r/>
          </w:p>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1、主机</w:t>
            </w:r>
            <w:r/>
          </w:p>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Hans" w:bidi="ar-SA"/>
              </w:rPr>
              <w:t xml:space="preserve">检测模块</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O2、LEL、H2S、CO、</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NH3</w:t>
            </w:r>
            <w:r>
              <w:rPr>
                <w:rFonts w:hint="eastAsia" w:ascii="宋体" w:hAnsi="宋体" w:eastAsia="宋体" w:cs="宋体"/>
                <w:color w:val="auto"/>
                <w:sz w:val="21"/>
                <w:szCs w:val="21"/>
                <w:highlight w:val="none"/>
                <w:lang w:val="en-US" w:eastAsia="zh-CN" w:bidi="ar-SA"/>
              </w:rPr>
              <w:t xml:space="preserve">）</w:t>
            </w:r>
            <w:r/>
          </w:p>
        </w:tc>
        <w:tc>
          <w:tcPr>
            <w:shd w:val="clear" w:color="auto" w:fill="ffffff"/>
            <w:tcW w:w="88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CN" w:bidi="ar-SA"/>
              </w:rPr>
              <w:t xml:space="preserve">3套</w:t>
            </w:r>
            <w:r/>
          </w:p>
        </w:tc>
      </w:tr>
    </w:tbl>
    <w:p>
      <w:pPr>
        <w:numPr>
          <w:ilvl w:val="0"/>
          <w:numId w:val="7"/>
        </w:numPr>
        <w:contextualSpacing/>
        <w:spacing w:line="400" w:lineRule="exact"/>
        <w:tabs>
          <w:tab w:val="left" w:pos="0" w:leader="none"/>
        </w:tabs>
        <w:rPr>
          <w:rFonts w:ascii="宋体" w:hAnsi="宋体" w:cs="宋体"/>
          <w:b/>
          <w:color w:val="auto"/>
          <w:szCs w:val="21"/>
          <w:highlight w:val="none"/>
        </w:rPr>
      </w:pPr>
      <w:r>
        <w:rPr>
          <w:rFonts w:hint="eastAsia" w:ascii="宋体" w:hAnsi="宋体" w:cs="宋体"/>
          <w:b/>
          <w:color w:val="auto"/>
          <w:szCs w:val="21"/>
          <w:highlight w:val="none"/>
        </w:rPr>
        <w:t xml:space="preserve">综合说明</w:t>
      </w:r>
      <w:r/>
    </w:p>
    <w:p>
      <w:pPr>
        <w:numPr>
          <w:ilvl w:val="0"/>
          <w:numId w:val="8"/>
        </w:numPr>
        <w:jc w:val="left"/>
        <w:spacing w:line="400" w:lineRule="exact"/>
        <w:rPr>
          <w:rFonts w:ascii="宋体" w:hAnsi="宋体" w:cs="宋体"/>
          <w:color w:val="auto"/>
          <w:highlight w:val="none"/>
        </w:rPr>
      </w:pPr>
      <w:r>
        <w:rPr>
          <w:rFonts w:hint="eastAsia" w:ascii="宋体" w:hAnsi="宋体" w:cs="宋体"/>
          <w:b/>
          <w:bCs/>
          <w:color w:val="auto"/>
          <w:highlight w:val="none"/>
        </w:rPr>
        <w:t xml:space="preserve">本项目采购需求中的所有内容及要求均不允许出现负偏离，否则视为未实质性响应采购文件的要求。</w:t>
      </w:r>
      <w:r/>
    </w:p>
    <w:p>
      <w:pPr>
        <w:numPr>
          <w:ilvl w:val="0"/>
          <w:numId w:val="8"/>
        </w:numPr>
        <w:jc w:val="left"/>
        <w:spacing w:line="400" w:lineRule="exact"/>
        <w:rPr>
          <w:rFonts w:ascii="宋体" w:hAnsi="宋体" w:cs="宋体"/>
          <w:color w:val="auto"/>
          <w:highlight w:val="none"/>
        </w:rPr>
      </w:pPr>
      <w:r>
        <w:rPr>
          <w:rFonts w:hint="eastAsia" w:ascii="宋体" w:hAnsi="宋体" w:cs="宋体"/>
          <w:color w:val="auto"/>
          <w:highlight w:val="none"/>
        </w:rPr>
        <w:t xml:space="preserve">本项目不接受进口产品投标。</w:t>
      </w:r>
      <w:r/>
    </w:p>
    <w:p>
      <w:pPr>
        <w:numPr>
          <w:ilvl w:val="0"/>
          <w:numId w:val="8"/>
        </w:numPr>
        <w:jc w:val="left"/>
        <w:spacing w:line="400" w:lineRule="exact"/>
        <w:rPr>
          <w:rFonts w:ascii="宋体" w:hAnsi="宋体" w:cs="宋体"/>
          <w:color w:val="auto"/>
          <w:highlight w:val="none"/>
        </w:rPr>
      </w:pPr>
      <w:r>
        <w:rPr>
          <w:rFonts w:hint="eastAsia" w:ascii="宋体" w:hAnsi="宋体" w:cs="宋体"/>
          <w:color w:val="auto"/>
          <w:highlight w:val="none"/>
        </w:rPr>
        <w:t xml:space="preserve">本项目核心产品为：</w:t>
      </w:r>
      <w:r>
        <w:rPr>
          <w:rFonts w:hint="eastAsia" w:ascii="宋体" w:hAnsi="宋体" w:eastAsia="宋体" w:cs="宋体"/>
          <w:b w:val="0"/>
          <w:bCs w:val="0"/>
          <w:color w:val="auto"/>
          <w:sz w:val="21"/>
          <w:szCs w:val="21"/>
          <w:highlight w:val="none"/>
          <w:u w:val="none"/>
          <w:lang w:val="en-US" w:eastAsia="zh-CN"/>
        </w:rPr>
        <w:t xml:space="preserve">无人机搭载多气体监测系统</w:t>
      </w:r>
      <w:r>
        <w:rPr>
          <w:rFonts w:hint="eastAsia" w:ascii="宋体" w:hAnsi="宋体" w:cs="宋体"/>
          <w:b w:val="0"/>
          <w:bCs w:val="0"/>
          <w:color w:val="auto"/>
          <w:sz w:val="21"/>
          <w:szCs w:val="21"/>
          <w:highlight w:val="none"/>
          <w:u w:val="none"/>
          <w:lang w:val="en-US" w:eastAsia="zh-CN"/>
        </w:rPr>
        <w:t xml:space="preserve">。</w:t>
      </w:r>
      <w:r/>
    </w:p>
    <w:p>
      <w:pPr>
        <w:numPr>
          <w:ilvl w:val="0"/>
          <w:numId w:val="8"/>
        </w:numPr>
        <w:jc w:val="left"/>
        <w:spacing w:line="400" w:lineRule="exact"/>
        <w:rPr>
          <w:rFonts w:ascii="宋体" w:hAnsi="宋体" w:cs="宋体"/>
          <w:color w:val="auto"/>
          <w:highlight w:val="none"/>
        </w:rPr>
      </w:pPr>
      <w:r>
        <w:rPr>
          <w:rFonts w:hint="eastAsia" w:ascii="宋体" w:hAnsi="宋体" w:cs="宋体"/>
          <w:color w:val="auto"/>
          <w:highlight w:val="none"/>
        </w:rPr>
        <w:t xml:space="preserve">项目履约期限：</w:t>
      </w:r>
      <w:r>
        <w:rPr>
          <w:rFonts w:hint="eastAsia" w:ascii="宋体" w:hAnsi="宋体" w:cs="宋体"/>
          <w:color w:val="auto"/>
          <w:highlight w:val="none"/>
        </w:rPr>
        <w:t xml:space="preserve">合同签订之日起30天内交付并安装调试完毕。</w:t>
      </w:r>
      <w:r>
        <w:rPr>
          <w:rFonts w:hint="eastAsia" w:cs="宋体"/>
          <w:color w:val="auto"/>
          <w:highlight w:val="none"/>
        </w:rPr>
        <w:t xml:space="preserve">如不能如期供货，采购方有权终止合同，供应商须承担由此对采购方造成的损失。</w:t>
      </w:r>
      <w:r/>
    </w:p>
    <w:p>
      <w:pPr>
        <w:numPr>
          <w:ilvl w:val="0"/>
          <w:numId w:val="8"/>
        </w:numPr>
        <w:jc w:val="left"/>
        <w:spacing w:line="400" w:lineRule="exact"/>
        <w:rPr>
          <w:rFonts w:ascii="宋体" w:hAnsi="宋体" w:cs="宋体"/>
          <w:color w:val="auto"/>
          <w:highlight w:val="none"/>
        </w:rPr>
      </w:pPr>
      <w:r>
        <w:rPr>
          <w:rFonts w:hint="eastAsia" w:ascii="宋体" w:hAnsi="宋体" w:cs="宋体"/>
          <w:color w:val="auto"/>
          <w:highlight w:val="none"/>
        </w:rPr>
        <w:t xml:space="preserve">项目交付地点：采购人指定地点。</w:t>
      </w:r>
      <w:r/>
    </w:p>
    <w:p>
      <w:pPr>
        <w:numPr>
          <w:ilvl w:val="0"/>
          <w:numId w:val="8"/>
        </w:numPr>
        <w:jc w:val="left"/>
        <w:spacing w:line="400" w:lineRule="exact"/>
        <w:rPr>
          <w:rFonts w:ascii="宋体" w:hAnsi="宋体" w:cs="宋体"/>
          <w:color w:val="auto"/>
          <w:highlight w:val="none"/>
        </w:rPr>
      </w:pPr>
      <w:r>
        <w:rPr>
          <w:rFonts w:hint="eastAsia" w:ascii="宋体" w:hAnsi="宋体" w:cs="宋体"/>
          <w:color w:val="auto"/>
          <w:highlight w:val="none"/>
        </w:rPr>
        <w:t xml:space="preserve">产品测试：签订合同时采购人有权要求成交单位提供主要产品进行</w:t>
      </w:r>
      <w:r>
        <w:rPr>
          <w:rFonts w:hint="eastAsia" w:ascii="宋体" w:hAnsi="宋体" w:cs="宋体"/>
          <w:color w:val="auto"/>
          <w:highlight w:val="none"/>
          <w:lang w:val="en-US" w:eastAsia="zh-CN"/>
        </w:rPr>
        <w:t xml:space="preserve">技术指标</w:t>
      </w:r>
      <w:r>
        <w:rPr>
          <w:rFonts w:hint="eastAsia" w:ascii="宋体" w:hAnsi="宋体" w:cs="宋体"/>
          <w:color w:val="auto"/>
          <w:highlight w:val="none"/>
        </w:rPr>
        <w:t xml:space="preserve">功能测试，如不满足采购要求，采购人有权认定产品不合格，视为虚假响应，并追究其相应责任，承担由此对采购人造成的一切损失并解除合同。</w:t>
      </w:r>
      <w:r/>
    </w:p>
    <w:p>
      <w:pPr>
        <w:numPr>
          <w:ilvl w:val="0"/>
          <w:numId w:val="8"/>
        </w:numPr>
        <w:jc w:val="left"/>
        <w:spacing w:line="400" w:lineRule="exact"/>
        <w:rPr>
          <w:rFonts w:ascii="宋体" w:hAnsi="宋体" w:cs="宋体"/>
          <w:color w:val="auto"/>
          <w:highlight w:val="none"/>
        </w:rPr>
      </w:pPr>
      <w:r>
        <w:rPr>
          <w:rFonts w:hint="eastAsia" w:ascii="宋体" w:hAnsi="宋体" w:cs="宋体"/>
          <w:color w:val="auto"/>
          <w:highlight w:val="none"/>
        </w:rPr>
        <w:t xml:space="preserve">免费质保期：</w:t>
      </w:r>
      <w:r>
        <w:rPr>
          <w:rFonts w:hint="eastAsia" w:ascii="宋体" w:hAnsi="宋体" w:cs="宋体"/>
          <w:color w:val="auto"/>
          <w:highlight w:val="none"/>
        </w:rPr>
        <w:t xml:space="preserve">自项目验收合格之日起提供不低于一年的免费质保期，产品原厂质保期高于此标准的按原厂质保期限执行。</w:t>
      </w:r>
      <w:r/>
    </w:p>
    <w:p>
      <w:pPr>
        <w:numPr>
          <w:ilvl w:val="0"/>
          <w:numId w:val="8"/>
        </w:numPr>
        <w:jc w:val="left"/>
        <w:spacing w:line="400" w:lineRule="exact"/>
        <w:rPr>
          <w:rFonts w:ascii="宋体" w:hAnsi="宋体" w:cs="宋体"/>
          <w:color w:val="auto"/>
          <w:highlight w:val="none"/>
        </w:rPr>
      </w:pPr>
      <w:r>
        <w:rPr>
          <w:rFonts w:hint="eastAsia" w:ascii="宋体" w:hAnsi="宋体" w:cs="宋体"/>
          <w:color w:val="auto"/>
          <w:highlight w:val="none"/>
        </w:rPr>
        <w:t xml:space="preserve">售后服务响应：</w:t>
      </w:r>
      <w:r>
        <w:rPr>
          <w:rFonts w:hint="eastAsia" w:ascii="宋体" w:hAnsi="宋体" w:cs="宋体"/>
          <w:color w:val="auto"/>
          <w:highlight w:val="none"/>
        </w:rPr>
        <w:t xml:space="preserve">在免费质保期内提供免费优质的售后服务，如发生质量问题，供应商应在采购人发出通知后于1小时内响应，6小时内到达现场进行维修、更换或退货，遇有紧急情况或发生重大故障时须在4小时内到达现场进行维修，24小时内解决问题，否则为保障采购人正常使用，应提供满足采购人需求的相应替代产品，否则采购人有权自行采取相应补救措施，产生的一切费用由供应商全权承担。</w:t>
      </w:r>
      <w:r/>
    </w:p>
    <w:p>
      <w:pPr>
        <w:numPr>
          <w:ilvl w:val="0"/>
          <w:numId w:val="8"/>
        </w:numPr>
        <w:jc w:val="left"/>
        <w:spacing w:line="400" w:lineRule="exact"/>
        <w:rPr>
          <w:rFonts w:ascii="宋体" w:hAnsi="宋体" w:cs="宋体"/>
          <w:color w:val="auto"/>
          <w:highlight w:val="none"/>
        </w:rPr>
      </w:pPr>
      <w:r>
        <w:rPr>
          <w:rFonts w:hint="eastAsia" w:ascii="宋体" w:hAnsi="宋体" w:cs="宋体"/>
          <w:color w:val="auto"/>
          <w:highlight w:val="none"/>
        </w:rPr>
        <w:t xml:space="preserve">质量保证：响应单位须保证成交后</w:t>
      </w:r>
      <w:r>
        <w:rPr>
          <w:rFonts w:hint="eastAsia" w:ascii="宋体" w:hAnsi="宋体" w:cs="宋体"/>
          <w:color w:val="auto"/>
          <w:highlight w:val="none"/>
          <w:lang w:val="zh-CN"/>
        </w:rPr>
        <w:t xml:space="preserve">提供的货物均为按国家规格条例生产的合格正规产品、符合设计规范要求。</w:t>
      </w:r>
      <w:r>
        <w:rPr>
          <w:rFonts w:hint="eastAsia" w:ascii="宋体" w:hAnsi="宋体" w:cs="宋体"/>
          <w:color w:val="auto"/>
          <w:highlight w:val="none"/>
        </w:rPr>
        <w:t xml:space="preserve">响应单位</w:t>
      </w:r>
      <w:r>
        <w:rPr>
          <w:rFonts w:hint="eastAsia" w:ascii="宋体" w:hAnsi="宋体" w:cs="宋体"/>
          <w:color w:val="auto"/>
          <w:highlight w:val="none"/>
          <w:lang w:val="zh-CN"/>
        </w:rPr>
        <w:t xml:space="preserve">应能保证所提供货物涉及到的知识产权是合法取得，并享有完整的知识产权，不会因为采购人的使用而被责令停</w:t>
      </w:r>
      <w:r>
        <w:rPr>
          <w:rFonts w:hint="eastAsia" w:ascii="宋体" w:hAnsi="宋体" w:cs="宋体"/>
          <w:color w:val="auto"/>
          <w:highlight w:val="none"/>
        </w:rPr>
        <w:t xml:space="preserve">止使用、追偿或要求赔偿损失，如出现此情况，一切经济和法律责任均由成交单位承担。</w:t>
      </w:r>
      <w:r/>
    </w:p>
    <w:p>
      <w:pPr>
        <w:numPr>
          <w:ilvl w:val="0"/>
          <w:numId w:val="8"/>
        </w:numPr>
        <w:jc w:val="left"/>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安装</w:t>
      </w:r>
      <w:r>
        <w:rPr>
          <w:rFonts w:hint="eastAsia" w:ascii="宋体" w:hAnsi="宋体" w:cs="宋体"/>
          <w:color w:val="auto"/>
          <w:highlight w:val="none"/>
        </w:rPr>
        <w:t xml:space="preserve">调试</w:t>
      </w:r>
      <w:r>
        <w:rPr>
          <w:rFonts w:hint="eastAsia" w:ascii="宋体" w:hAnsi="宋体" w:cs="宋体"/>
          <w:color w:val="auto"/>
          <w:highlight w:val="none"/>
          <w:lang w:val="zh-CN"/>
        </w:rPr>
        <w:t xml:space="preserve">要求：</w:t>
      </w:r>
      <w:r/>
    </w:p>
    <w:p>
      <w:pPr>
        <w:numPr>
          <w:ilvl w:val="0"/>
          <w:numId w:val="9"/>
        </w:numPr>
        <w:spacing w:line="400" w:lineRule="exact"/>
        <w:rPr>
          <w:rFonts w:ascii="宋体" w:hAnsi="宋体" w:cs="宋体"/>
          <w:color w:val="auto"/>
          <w:highlight w:val="none"/>
          <w:lang w:val="zh-CN"/>
        </w:rPr>
      </w:pPr>
      <w:r>
        <w:rPr>
          <w:rFonts w:hint="eastAsia" w:ascii="宋体" w:hAnsi="宋体" w:cs="宋体"/>
          <w:color w:val="auto"/>
          <w:highlight w:val="none"/>
        </w:rPr>
        <w:t xml:space="preserve">成交单位</w:t>
      </w:r>
      <w:r>
        <w:rPr>
          <w:rFonts w:hint="eastAsia" w:ascii="宋体" w:hAnsi="宋体" w:cs="宋体"/>
          <w:color w:val="auto"/>
          <w:highlight w:val="none"/>
          <w:lang w:val="zh-CN"/>
        </w:rPr>
        <w:t xml:space="preserve">安装</w:t>
      </w:r>
      <w:r>
        <w:rPr>
          <w:rFonts w:hint="eastAsia" w:ascii="宋体" w:hAnsi="宋体" w:cs="宋体"/>
          <w:color w:val="auto"/>
          <w:highlight w:val="none"/>
        </w:rPr>
        <w:t xml:space="preserve">调试时须</w:t>
      </w:r>
      <w:r>
        <w:rPr>
          <w:rFonts w:hint="eastAsia" w:ascii="宋体" w:hAnsi="宋体" w:cs="宋体"/>
          <w:color w:val="auto"/>
          <w:highlight w:val="none"/>
          <w:lang w:val="zh-CN"/>
        </w:rPr>
        <w:t xml:space="preserve">遵守现场的一切规章制度；</w:t>
      </w:r>
      <w:r/>
    </w:p>
    <w:p>
      <w:pPr>
        <w:numPr>
          <w:ilvl w:val="0"/>
          <w:numId w:val="9"/>
        </w:numPr>
        <w:spacing w:line="400" w:lineRule="exact"/>
        <w:rPr>
          <w:rFonts w:ascii="宋体" w:hAnsi="宋体" w:cs="宋体"/>
          <w:color w:val="auto"/>
          <w:highlight w:val="none"/>
          <w:lang w:val="zh-CN"/>
        </w:rPr>
      </w:pPr>
      <w:r>
        <w:rPr>
          <w:rFonts w:hint="eastAsia" w:ascii="宋体" w:hAnsi="宋体" w:cs="宋体"/>
          <w:color w:val="auto"/>
          <w:highlight w:val="none"/>
        </w:rPr>
        <w:t xml:space="preserve">成交单位</w:t>
      </w:r>
      <w:r>
        <w:rPr>
          <w:rFonts w:hint="eastAsia" w:ascii="宋体" w:hAnsi="宋体" w:cs="宋体"/>
          <w:color w:val="auto"/>
          <w:highlight w:val="none"/>
          <w:lang w:val="zh-CN"/>
        </w:rPr>
        <w:t xml:space="preserve">负责保管、看护进场的设备及附配件直至完成安装调试后交付甲方；</w:t>
      </w:r>
      <w:r/>
    </w:p>
    <w:p>
      <w:pPr>
        <w:numPr>
          <w:ilvl w:val="0"/>
          <w:numId w:val="9"/>
        </w:numPr>
        <w:spacing w:line="400" w:lineRule="exact"/>
        <w:rPr>
          <w:rFonts w:ascii="宋体" w:hAnsi="宋体" w:cs="宋体"/>
          <w:color w:val="auto"/>
          <w:highlight w:val="none"/>
          <w:lang w:val="zh-CN"/>
        </w:rPr>
      </w:pPr>
      <w:r>
        <w:rPr>
          <w:rFonts w:hint="eastAsia" w:ascii="宋体" w:hAnsi="宋体" w:cs="宋体"/>
          <w:color w:val="auto"/>
          <w:highlight w:val="none"/>
        </w:rPr>
        <w:t xml:space="preserve">成交单位</w:t>
      </w:r>
      <w:r>
        <w:rPr>
          <w:rFonts w:hint="eastAsia" w:ascii="宋体" w:hAnsi="宋体" w:cs="宋体"/>
          <w:color w:val="auto"/>
          <w:highlight w:val="none"/>
          <w:lang w:val="zh-CN"/>
        </w:rPr>
        <w:t xml:space="preserve">负责设备、安装工具等提供适当的保护、包装或覆盖等处理，直至验收合格，以免受损；</w:t>
      </w:r>
      <w:r/>
    </w:p>
    <w:p>
      <w:pPr>
        <w:numPr>
          <w:ilvl w:val="0"/>
          <w:numId w:val="9"/>
        </w:numPr>
        <w:spacing w:line="400" w:lineRule="exact"/>
        <w:rPr>
          <w:rFonts w:ascii="宋体" w:hAnsi="宋体" w:cs="宋体"/>
          <w:color w:val="auto"/>
          <w:highlight w:val="none"/>
        </w:rPr>
      </w:pPr>
      <w:r>
        <w:rPr>
          <w:rFonts w:hint="eastAsia" w:ascii="宋体" w:hAnsi="宋体" w:cs="宋体"/>
          <w:color w:val="auto"/>
          <w:highlight w:val="none"/>
          <w:lang w:val="zh-CN"/>
        </w:rPr>
        <w:t xml:space="preserve">无论调试期间或保修过程中，</w:t>
      </w:r>
      <w:r>
        <w:rPr>
          <w:rFonts w:hint="eastAsia" w:ascii="宋体" w:hAnsi="宋体" w:cs="宋体"/>
          <w:color w:val="auto"/>
          <w:highlight w:val="none"/>
        </w:rPr>
        <w:t xml:space="preserve">成交单位</w:t>
      </w:r>
      <w:r>
        <w:rPr>
          <w:rFonts w:hint="eastAsia" w:ascii="宋体" w:hAnsi="宋体" w:cs="宋体"/>
          <w:color w:val="auto"/>
          <w:highlight w:val="none"/>
          <w:lang w:val="zh-CN"/>
        </w:rPr>
        <w:t xml:space="preserve">负责及时清理垃圾。</w:t>
      </w:r>
      <w:r/>
    </w:p>
    <w:p>
      <w:pPr>
        <w:numPr>
          <w:ilvl w:val="0"/>
          <w:numId w:val="8"/>
        </w:numPr>
        <w:jc w:val="left"/>
        <w:spacing w:line="400" w:lineRule="exact"/>
        <w:rPr>
          <w:rFonts w:ascii="宋体" w:hAnsi="宋体" w:cs="宋体"/>
          <w:color w:val="auto"/>
          <w:highlight w:val="none"/>
        </w:rPr>
      </w:pPr>
      <w:r>
        <w:rPr>
          <w:rFonts w:hint="eastAsia" w:ascii="宋体" w:hAnsi="宋体" w:cs="宋体"/>
          <w:color w:val="auto"/>
          <w:highlight w:val="none"/>
        </w:rPr>
        <w:t xml:space="preserve">验收说明：</w:t>
      </w:r>
      <w:r>
        <w:rPr>
          <w:rFonts w:hint="eastAsia" w:ascii="宋体" w:hAnsi="宋体" w:cs="仿宋_GB2312"/>
          <w:color w:val="auto"/>
          <w:szCs w:val="21"/>
          <w:highlight w:val="none"/>
        </w:rPr>
        <w:t xml:space="preserve">本项目将根据政府采购法</w:t>
      </w:r>
      <w:r>
        <w:rPr>
          <w:rFonts w:hint="eastAsia" w:ascii="宋体" w:hAnsi="宋体" w:cs="仿宋_GB2312"/>
          <w:color w:val="auto"/>
          <w:szCs w:val="21"/>
          <w:highlight w:val="none"/>
          <w:lang w:val="en-US" w:eastAsia="zh-CN"/>
        </w:rPr>
        <w:t xml:space="preserve">律法规</w:t>
      </w:r>
      <w:r>
        <w:rPr>
          <w:rFonts w:hint="eastAsia" w:ascii="宋体" w:hAnsi="宋体" w:cs="仿宋_GB2312"/>
          <w:color w:val="auto"/>
          <w:szCs w:val="21"/>
          <w:highlight w:val="none"/>
        </w:rPr>
        <w:t xml:space="preserve">及相关文件的规定,对供应商进行履约验收，确认验收合格的，将出具履约验收</w:t>
      </w:r>
      <w:r>
        <w:rPr>
          <w:rFonts w:hint="eastAsia" w:ascii="宋体" w:hAnsi="宋体" w:cs="仿宋_GB2312"/>
          <w:color w:val="auto"/>
          <w:szCs w:val="21"/>
          <w:highlight w:val="none"/>
          <w:lang w:val="en-US" w:eastAsia="zh-CN"/>
        </w:rPr>
        <w:t xml:space="preserve">报告</w:t>
      </w:r>
      <w:r>
        <w:rPr>
          <w:rFonts w:hint="eastAsia" w:ascii="宋体" w:hAnsi="宋体" w:cs="仿宋_GB2312"/>
          <w:color w:val="auto"/>
          <w:szCs w:val="21"/>
          <w:highlight w:val="none"/>
        </w:rPr>
        <w:t xml:space="preserve">。</w:t>
      </w:r>
      <w:r/>
    </w:p>
    <w:p>
      <w:pPr>
        <w:numPr>
          <w:ilvl w:val="0"/>
          <w:numId w:val="7"/>
        </w:numPr>
        <w:contextualSpacing/>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其他说明</w:t>
      </w:r>
      <w:r/>
    </w:p>
    <w:p>
      <w:pPr>
        <w:numPr>
          <w:ilvl w:val="0"/>
          <w:numId w:val="10"/>
        </w:numPr>
        <w:jc w:val="left"/>
        <w:spacing w:line="400" w:lineRule="exact"/>
        <w:rPr>
          <w:rFonts w:ascii="宋体" w:hAnsi="宋体" w:cs="宋体"/>
          <w:color w:val="auto"/>
          <w:highlight w:val="none"/>
        </w:rPr>
      </w:pPr>
      <w:r>
        <w:rPr>
          <w:rFonts w:hint="eastAsia" w:ascii="宋体" w:hAnsi="宋体" w:cs="宋体"/>
          <w:color w:val="auto"/>
          <w:highlight w:val="none"/>
        </w:rPr>
        <w:t xml:space="preserve">响应单位在投标时应注明所投货物的品牌、型号、</w:t>
      </w:r>
      <w:r>
        <w:rPr>
          <w:rFonts w:hint="eastAsia" w:ascii="宋体" w:hAnsi="宋体" w:cs="宋体"/>
          <w:color w:val="auto"/>
          <w:szCs w:val="21"/>
          <w:highlight w:val="none"/>
        </w:rPr>
        <w:t xml:space="preserve">详细技术参数、指标</w:t>
      </w:r>
      <w:r>
        <w:rPr>
          <w:rFonts w:hint="eastAsia" w:ascii="宋体" w:hAnsi="宋体" w:cs="宋体"/>
          <w:color w:val="auto"/>
          <w:highlight w:val="none"/>
        </w:rPr>
        <w:t xml:space="preserve">等。</w:t>
      </w:r>
      <w:r/>
    </w:p>
    <w:p>
      <w:pPr>
        <w:numPr>
          <w:ilvl w:val="0"/>
          <w:numId w:val="10"/>
        </w:numPr>
        <w:jc w:val="left"/>
        <w:spacing w:line="400" w:lineRule="exact"/>
        <w:rPr>
          <w:rFonts w:ascii="宋体" w:hAnsi="宋体" w:cs="宋体"/>
          <w:color w:val="auto"/>
          <w:highlight w:val="none"/>
        </w:rPr>
      </w:pPr>
      <w:r>
        <w:rPr>
          <w:rFonts w:hint="eastAsia" w:ascii="宋体" w:hAnsi="宋体" w:cs="宋体"/>
          <w:color w:val="auto"/>
          <w:highlight w:val="none"/>
        </w:rPr>
        <w:t xml:space="preserve">响应单位所提供的相关产品应根据国家标准和规范进行设计和制造，并遵循采购文件的要求，其产品是技术成熟的、性能优良，整体设计和软硬件配备全新的原厂产品，并提供详细的产品说明。如其中某些条款不能完全满足时，必须在响应文件中逐条列出，未列出的视为完全响应，但不作为判断是否满足采购文件要求的唯一条件。</w:t>
      </w:r>
      <w:r/>
    </w:p>
    <w:p>
      <w:pPr>
        <w:numPr>
          <w:ilvl w:val="0"/>
          <w:numId w:val="10"/>
        </w:numPr>
        <w:jc w:val="left"/>
        <w:spacing w:line="400" w:lineRule="exact"/>
        <w:rPr>
          <w:rFonts w:ascii="宋体" w:hAnsi="宋体" w:cs="宋体"/>
          <w:color w:val="auto"/>
          <w:highlight w:val="none"/>
        </w:rPr>
      </w:pPr>
      <w:r>
        <w:rPr>
          <w:rFonts w:hint="eastAsia" w:ascii="宋体" w:hAnsi="宋体" w:cs="宋体"/>
          <w:color w:val="auto"/>
          <w:highlight w:val="none"/>
        </w:rPr>
        <w:t xml:space="preserve">响应单位须负责其所提供的所有设备的安装调试、以及与之相关的一切必要配套工作。</w:t>
      </w:r>
      <w:r/>
    </w:p>
    <w:p>
      <w:pPr>
        <w:numPr>
          <w:ilvl w:val="0"/>
          <w:numId w:val="10"/>
        </w:numPr>
        <w:jc w:val="left"/>
        <w:spacing w:line="400" w:lineRule="exact"/>
        <w:rPr>
          <w:rFonts w:ascii="宋体" w:hAnsi="宋体" w:cs="宋体"/>
          <w:color w:val="auto"/>
          <w:highlight w:val="none"/>
        </w:rPr>
      </w:pPr>
      <w:r>
        <w:rPr>
          <w:rFonts w:hint="eastAsia" w:ascii="宋体" w:hAnsi="宋体" w:cs="宋体"/>
          <w:color w:val="auto"/>
          <w:highlight w:val="none"/>
        </w:rPr>
        <w:t xml:space="preserve">本次谈判总报价包括所有货物及备品、备件、辅配件和专用工具费用、安装、调试、技术支持与培训、检测验收、配套服务、包装、运输、售后与维保、保险及相关劳务支出等工作所发生的全部费用以及响应单位企业利润、税金和政策性文件规定及合同包含的所有风险、责任等各项应有费用。响应单位应保证如项目实施过程中有辅助材料缺漏，响应单位负责无条件补齐，费用包含在本次谈判报价中，采购人不再另行支付。</w:t>
      </w:r>
      <w:r/>
    </w:p>
    <w:p>
      <w:pPr>
        <w:numPr>
          <w:ilvl w:val="0"/>
          <w:numId w:val="10"/>
        </w:numPr>
        <w:jc w:val="left"/>
        <w:spacing w:line="400" w:lineRule="exact"/>
        <w:rPr>
          <w:rFonts w:ascii="宋体" w:hAnsi="宋体" w:cs="宋体"/>
          <w:color w:val="auto"/>
          <w:highlight w:val="none"/>
        </w:rPr>
      </w:pPr>
      <w:r>
        <w:rPr>
          <w:rFonts w:hint="eastAsia" w:ascii="宋体" w:hAnsi="宋体" w:cs="宋体"/>
          <w:color w:val="auto"/>
          <w:highlight w:val="none"/>
        </w:rPr>
        <w:t xml:space="preserve">响应单位在项目交货及实施过程中须做好安全防范工作，出现一切人身安全事故及财产损失由成交单位全权负责、承担。采购人在此项目中不再就安全问题承担任何责任。</w:t>
      </w:r>
      <w:r/>
    </w:p>
    <w:p>
      <w:pPr>
        <w:numPr>
          <w:ilvl w:val="0"/>
          <w:numId w:val="7"/>
        </w:numPr>
        <w:contextualSpacing/>
        <w:spacing w:line="400" w:lineRule="exact"/>
        <w:tabs>
          <w:tab w:val="left" w:pos="0" w:leader="none"/>
        </w:tabs>
        <w:rPr>
          <w:rFonts w:ascii="宋体" w:hAnsi="宋体" w:cs="宋体"/>
          <w:b/>
          <w:bCs/>
          <w:color w:val="auto"/>
          <w:highlight w:val="none"/>
        </w:rPr>
      </w:pPr>
      <w:r>
        <w:rPr>
          <w:rFonts w:hint="eastAsia" w:ascii="宋体" w:hAnsi="宋体" w:cs="宋体"/>
          <w:b/>
          <w:bCs/>
          <w:color w:val="auto"/>
          <w:highlight w:val="none"/>
        </w:rPr>
        <w:t xml:space="preserve">根据财政部、发展改革委、生态环境部、市场监管总局关于调整优化节能产品、环境标志产品政府采购执行机制的通知：</w:t>
      </w:r>
      <w:r/>
    </w:p>
    <w:p>
      <w:pPr>
        <w:numPr>
          <w:ilvl w:val="0"/>
          <w:numId w:val="11"/>
        </w:numPr>
        <w:spacing w:line="400" w:lineRule="exact"/>
        <w:rPr>
          <w:rFonts w:ascii="宋体" w:hAnsi="宋体" w:cs="宋体"/>
          <w:color w:val="auto"/>
          <w:highlight w:val="none"/>
        </w:rPr>
      </w:pPr>
      <w:r>
        <w:rPr>
          <w:rFonts w:hint="eastAsia" w:ascii="宋体" w:hAnsi="宋体" w:cs="宋体"/>
          <w:color w:val="auto"/>
          <w:highlight w:val="none"/>
        </w:rPr>
        <w:t xml:space="preserve">本次拟采购产品中未涉及到节能强制采购产品、优先采购节能产品、优先采购环保产品。</w:t>
      </w:r>
      <w:r/>
    </w:p>
    <w:p>
      <w:pPr>
        <w:numPr>
          <w:ilvl w:val="0"/>
          <w:numId w:val="7"/>
        </w:numPr>
        <w:contextualSpacing/>
        <w:spacing w:line="400" w:lineRule="exact"/>
        <w:tabs>
          <w:tab w:val="left" w:pos="0" w:leader="none"/>
        </w:tabs>
        <w:rPr>
          <w:rFonts w:ascii="宋体" w:hAnsi="宋体" w:cs="宋体"/>
          <w:b/>
          <w:bCs/>
          <w:color w:val="auto"/>
          <w:highlight w:val="none"/>
        </w:rPr>
      </w:pPr>
      <w:r>
        <w:rPr>
          <w:rFonts w:hint="eastAsia" w:ascii="宋体" w:hAnsi="宋体" w:cs="宋体"/>
          <w:b/>
          <w:bCs/>
          <w:color w:val="auto"/>
          <w:highlight w:val="none"/>
        </w:rPr>
        <w:t xml:space="preserve">针对小微企业、监狱企业及残疾人企业的评审：</w:t>
      </w:r>
      <w:r/>
    </w:p>
    <w:p>
      <w:pPr>
        <w:numPr>
          <w:ilvl w:val="0"/>
          <w:numId w:val="12"/>
        </w:numPr>
        <w:spacing w:line="400" w:lineRule="exact"/>
        <w:tabs>
          <w:tab w:val="left" w:pos="640"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关于促进残疾人就业政府采购政策的通知》（财库〔2017〕141号）、《关于政府采购支持监狱企业发展有关问题的通知》（财库〔2014〕68号）及《关于进一步加大政府采购支持中小企业力度的通知》 （财库〔2022〕19号）等文件的精神，对属于小微企业、监狱企业、残疾人企业价格评审做如下约定：</w:t>
      </w:r>
      <w:r/>
    </w:p>
    <w:p>
      <w:pPr>
        <w:numPr>
          <w:ilvl w:val="0"/>
          <w:numId w:val="13"/>
        </w:numPr>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因其余专门面向中小企业采购，故不再执行价格评审优惠的扶持政策。供应商必须按要求提供《中小企业声明函》或《残疾人福利性单位声明函》或由省级以上监狱管理局、戒毒管理局（含新疆生产建设兵团）出具的属于监狱企业的证明文件。</w:t>
      </w:r>
      <w:r/>
    </w:p>
    <w:p>
      <w:pPr>
        <w:numPr>
          <w:ilvl w:val="0"/>
          <w:numId w:val="12"/>
        </w:numPr>
        <w:spacing w:line="400" w:lineRule="exact"/>
        <w:tabs>
          <w:tab w:val="left" w:pos="640" w:leader="none"/>
        </w:tabs>
        <w:rPr>
          <w:rFonts w:ascii="宋体" w:hAnsi="宋体" w:cs="宋体"/>
          <w:color w:val="auto"/>
          <w:highlight w:val="none"/>
        </w:rPr>
      </w:pPr>
      <w:r>
        <w:rPr>
          <w:rFonts w:hint="eastAsia" w:ascii="宋体" w:hAnsi="宋体" w:cs="宋体"/>
          <w:color w:val="auto"/>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cs="宋体"/>
          <w:color w:val="auto"/>
          <w:highlight w:val="none"/>
          <w:lang w:val="zh-CN"/>
        </w:rPr>
        <w:t xml:space="preserve">中小微企业划型标准根据《中小企业划型标准规定》（工信部联企业【2011】300号）</w:t>
      </w:r>
      <w:r>
        <w:rPr>
          <w:rFonts w:hint="eastAsia" w:ascii="宋体" w:hAnsi="宋体" w:cs="宋体"/>
          <w:color w:val="auto"/>
          <w:highlight w:val="none"/>
        </w:rPr>
        <w:t xml:space="preserve">。</w:t>
      </w:r>
      <w:r/>
    </w:p>
    <w:p>
      <w:pPr>
        <w:numPr>
          <w:ilvl w:val="0"/>
          <w:numId w:val="7"/>
        </w:numPr>
        <w:contextualSpacing/>
        <w:spacing w:line="400" w:lineRule="exact"/>
        <w:tabs>
          <w:tab w:val="left" w:pos="0" w:leader="none"/>
        </w:tabs>
        <w:rPr>
          <w:rFonts w:ascii="宋体" w:hAnsi="宋体" w:cs="宋体"/>
          <w:b/>
          <w:bCs/>
          <w:color w:val="auto"/>
          <w:highlight w:val="none"/>
        </w:rPr>
      </w:pPr>
      <w:r>
        <w:rPr>
          <w:rFonts w:hint="eastAsia" w:ascii="宋体" w:hAnsi="宋体" w:cs="宋体"/>
          <w:b/>
          <w:bCs/>
          <w:color w:val="auto"/>
          <w:highlight w:val="none"/>
        </w:rPr>
        <w:t xml:space="preserve">关于对参与供应商信用记录的政府采购要求：</w:t>
      </w:r>
      <w:r/>
    </w:p>
    <w:p>
      <w:pPr>
        <w:numPr>
          <w:ilvl w:val="0"/>
          <w:numId w:val="14"/>
        </w:numPr>
        <w:spacing w:line="400" w:lineRule="exact"/>
        <w:tabs>
          <w:tab w:val="left" w:pos="640" w:leader="none"/>
        </w:tabs>
        <w:rPr>
          <w:rFonts w:ascii="宋体" w:hAnsi="宋体" w:cs="宋体"/>
          <w:color w:val="auto"/>
          <w:szCs w:val="21"/>
          <w:highlight w:val="none"/>
        </w:rPr>
      </w:pPr>
      <w:r>
        <w:rPr>
          <w:rFonts w:hint="eastAsia" w:ascii="宋体" w:hAnsi="宋体" w:cs="宋体"/>
          <w:color w:val="auto"/>
          <w:szCs w:val="21"/>
          <w:highlight w:val="none"/>
        </w:rPr>
        <w:t xml:space="preserve">采购代理机构会在接收投标文件截止时间后，在信用中国等网站输入供应商全称或统一社会信用代码查询信用记录，并将查询结果递交评审小组。</w:t>
      </w:r>
      <w:r/>
    </w:p>
    <w:p>
      <w:pPr>
        <w:numPr>
          <w:ilvl w:val="0"/>
          <w:numId w:val="14"/>
        </w:numPr>
        <w:spacing w:line="400" w:lineRule="exact"/>
        <w:tabs>
          <w:tab w:val="left" w:pos="640" w:leader="none"/>
        </w:tabs>
        <w:rPr>
          <w:rFonts w:ascii="宋体" w:hAnsi="宋体" w:cs="宋体"/>
          <w:color w:val="auto"/>
          <w:szCs w:val="21"/>
          <w:highlight w:val="none"/>
        </w:rPr>
      </w:pPr>
      <w:r>
        <w:rPr>
          <w:rFonts w:hint="eastAsia" w:ascii="宋体" w:hAnsi="宋体" w:cs="宋体"/>
          <w:color w:val="auto"/>
          <w:szCs w:val="21"/>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numPr>
          <w:ilvl w:val="0"/>
          <w:numId w:val="15"/>
        </w:numPr>
        <w:contextualSpacing/>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政府采购严重违法记录，即供应商被全国各级财政部门列入“政府采购严重违法失信行为记录名单”，且在处罚有效期内的。</w:t>
      </w:r>
      <w:r/>
    </w:p>
    <w:p>
      <w:pPr>
        <w:numPr>
          <w:ilvl w:val="0"/>
          <w:numId w:val="15"/>
        </w:numPr>
        <w:contextualSpacing/>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财政部门与法院、市监、税务等部门联合惩戒的失信信息，包括：</w:t>
      </w:r>
      <w:r/>
    </w:p>
    <w:p>
      <w:pPr>
        <w:contextualSpacing/>
        <w:ind w:left="567"/>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1) 被列入失信被执行人名单；</w:t>
      </w:r>
      <w:r/>
    </w:p>
    <w:p>
      <w:pPr>
        <w:contextualSpacing/>
        <w:ind w:left="567"/>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2) 被列入重大税收违法案件当事人名单；</w:t>
      </w:r>
      <w:r/>
    </w:p>
    <w:p>
      <w:pPr>
        <w:contextualSpacing/>
        <w:ind w:left="567"/>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0"/>
          <w:numId w:val="14"/>
        </w:numPr>
        <w:spacing w:line="400" w:lineRule="exact"/>
        <w:tabs>
          <w:tab w:val="left" w:pos="640" w:leader="none"/>
        </w:tabs>
        <w:rPr>
          <w:rFonts w:ascii="宋体" w:hAnsi="宋体" w:cs="宋体"/>
          <w:color w:val="auto"/>
          <w:szCs w:val="21"/>
          <w:highlight w:val="none"/>
        </w:rPr>
      </w:pPr>
      <w:r>
        <w:rPr>
          <w:rFonts w:hint="eastAsia" w:ascii="宋体" w:hAnsi="宋体" w:cs="宋体"/>
          <w:color w:val="auto"/>
          <w:szCs w:val="21"/>
          <w:highlight w:val="none"/>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7"/>
        </w:numPr>
        <w:contextualSpacing/>
        <w:spacing w:line="400" w:lineRule="exact"/>
        <w:tabs>
          <w:tab w:val="left" w:pos="0" w:leader="none"/>
        </w:tabs>
        <w:rPr>
          <w:rFonts w:ascii="宋体" w:hAnsi="宋体" w:cs="宋体"/>
          <w:b/>
          <w:color w:val="auto"/>
          <w:highlight w:val="none"/>
        </w:rPr>
      </w:pPr>
      <w:r>
        <w:rPr>
          <w:rFonts w:hint="eastAsia" w:ascii="宋体" w:hAnsi="宋体" w:cs="宋体"/>
          <w:b/>
          <w:color w:val="auto"/>
          <w:highlight w:val="none"/>
        </w:rPr>
        <w:t xml:space="preserve">凡涉及采购文件的补充说明和修改，均以发布媒体上公示的通知为准。</w:t>
      </w:r>
      <w:r/>
    </w:p>
    <w:p>
      <w:pPr>
        <w:numPr>
          <w:ilvl w:val="0"/>
          <w:numId w:val="6"/>
        </w:numPr>
        <w:contextualSpacing/>
        <w:spacing w:line="400" w:lineRule="exact"/>
        <w:tabs>
          <w:tab w:val="left" w:pos="0" w:leader="none"/>
        </w:tabs>
        <w:rPr>
          <w:rFonts w:ascii="宋体" w:hAnsi="宋体"/>
          <w:b/>
          <w:color w:val="auto"/>
          <w:szCs w:val="21"/>
          <w:highlight w:val="none"/>
        </w:rPr>
      </w:pPr>
      <w:r>
        <w:rPr>
          <w:rFonts w:hint="eastAsia" w:ascii="宋体" w:hAnsi="宋体" w:cs="宋体"/>
          <w:b/>
          <w:color w:val="auto"/>
          <w:szCs w:val="21"/>
          <w:highlight w:val="none"/>
        </w:rPr>
        <w:t xml:space="preserve">谈判</w:t>
      </w:r>
      <w:r>
        <w:rPr>
          <w:rFonts w:hint="eastAsia" w:ascii="宋体" w:hAnsi="宋体"/>
          <w:b/>
          <w:color w:val="auto"/>
          <w:szCs w:val="21"/>
          <w:highlight w:val="none"/>
        </w:rPr>
        <w:t xml:space="preserve">响应文件的组成及要求：</w:t>
      </w:r>
      <w:r/>
    </w:p>
    <w:p>
      <w:pPr>
        <w:contextualSpacing/>
        <w:spacing w:line="400" w:lineRule="exact"/>
        <w:tabs>
          <w:tab w:val="left" w:pos="0" w:leader="none"/>
        </w:tabs>
        <w:rPr>
          <w:rFonts w:ascii="宋体" w:hAnsi="宋体"/>
          <w:b/>
          <w:bCs/>
          <w:color w:val="auto"/>
          <w:szCs w:val="21"/>
          <w:highlight w:val="none"/>
        </w:rPr>
      </w:pPr>
      <w:r>
        <w:rPr>
          <w:rFonts w:hint="eastAsia" w:ascii="宋体" w:hAnsi="宋体"/>
          <w:b/>
          <w:bCs/>
          <w:color w:val="auto"/>
          <w:szCs w:val="21"/>
          <w:highlight w:val="none"/>
        </w:rPr>
        <w:t xml:space="preserve">（一）文件组成：</w:t>
      </w:r>
      <w:r/>
    </w:p>
    <w:p>
      <w:pPr>
        <w:numPr>
          <w:ilvl w:val="0"/>
          <w:numId w:val="16"/>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响应文件封面；</w:t>
      </w:r>
      <w:r/>
    </w:p>
    <w:p>
      <w:pPr>
        <w:numPr>
          <w:ilvl w:val="0"/>
          <w:numId w:val="16"/>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谈判报价表；</w:t>
      </w:r>
      <w:r/>
    </w:p>
    <w:p>
      <w:pPr>
        <w:numPr>
          <w:ilvl w:val="0"/>
          <w:numId w:val="16"/>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谈判报价分项明细表；</w:t>
      </w:r>
      <w:r/>
    </w:p>
    <w:p>
      <w:pPr>
        <w:numPr>
          <w:ilvl w:val="0"/>
          <w:numId w:val="16"/>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其他针对本次</w:t>
      </w:r>
      <w:r>
        <w:rPr>
          <w:rFonts w:hint="eastAsia" w:ascii="宋体" w:hAnsi="宋体"/>
          <w:color w:val="auto"/>
          <w:szCs w:val="21"/>
          <w:highlight w:val="none"/>
          <w:lang w:val="en-US" w:eastAsia="zh-CN"/>
        </w:rPr>
        <w:t xml:space="preserve">谈判</w:t>
      </w:r>
      <w:r>
        <w:rPr>
          <w:rFonts w:hint="eastAsia" w:ascii="宋体" w:hAnsi="宋体"/>
          <w:color w:val="auto"/>
          <w:szCs w:val="21"/>
          <w:highlight w:val="none"/>
        </w:rPr>
        <w:t xml:space="preserve">的详细说明；</w:t>
      </w:r>
      <w:r/>
    </w:p>
    <w:p>
      <w:pPr>
        <w:numPr>
          <w:ilvl w:val="1"/>
          <w:numId w:val="16"/>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无对应模块上传的响应文件内容可传至此，含“四、附件”中部分表格、内容。</w:t>
      </w:r>
      <w:r/>
    </w:p>
    <w:p>
      <w:pPr>
        <w:numPr>
          <w:ilvl w:val="0"/>
          <w:numId w:val="16"/>
        </w:numPr>
        <w:spacing w:line="400" w:lineRule="exac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资格</w:t>
      </w:r>
      <w:r>
        <w:rPr>
          <w:rFonts w:hint="eastAsia" w:ascii="宋体" w:hAnsi="宋体"/>
          <w:b/>
          <w:bCs/>
          <w:color w:val="auto"/>
          <w:highlight w:val="none"/>
        </w:rPr>
        <w:t xml:space="preserve">审查响应文件：</w:t>
      </w:r>
      <w:r/>
    </w:p>
    <w:p>
      <w:pPr>
        <w:numPr>
          <w:ilvl w:val="1"/>
          <w:numId w:val="16"/>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谈判响应承诺书；</w:t>
      </w:r>
      <w:r/>
    </w:p>
    <w:p>
      <w:pPr>
        <w:numPr>
          <w:ilvl w:val="1"/>
          <w:numId w:val="16"/>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关于资格文件的声明函；</w:t>
      </w:r>
      <w:r/>
    </w:p>
    <w:p>
      <w:pPr>
        <w:numPr>
          <w:ilvl w:val="1"/>
          <w:numId w:val="16"/>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lang w:val="zh-CN"/>
        </w:rPr>
        <w:t xml:space="preserve">供应商法定代表人</w:t>
      </w:r>
      <w:r>
        <w:rPr>
          <w:rFonts w:hint="eastAsia" w:ascii="宋体" w:hAnsi="宋体"/>
          <w:color w:val="auto"/>
          <w:szCs w:val="21"/>
          <w:highlight w:val="none"/>
        </w:rPr>
        <w:t xml:space="preserve">身份证复印件；</w:t>
      </w:r>
      <w:r/>
    </w:p>
    <w:p>
      <w:pPr>
        <w:numPr>
          <w:ilvl w:val="1"/>
          <w:numId w:val="16"/>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法定代表人授权委托书、供应商代理人身份证复印件（如有授权）；</w:t>
      </w:r>
      <w:r/>
    </w:p>
    <w:p>
      <w:pPr>
        <w:numPr>
          <w:ilvl w:val="1"/>
          <w:numId w:val="16"/>
        </w:numPr>
        <w:spacing w:line="400" w:lineRule="exact"/>
        <w:tabs>
          <w:tab w:val="left" w:pos="540" w:leader="none"/>
        </w:tabs>
        <w:rPr>
          <w:rFonts w:ascii="宋体" w:hAnsi="宋体"/>
          <w:color w:val="auto"/>
          <w:highlight w:val="none"/>
        </w:rPr>
      </w:pPr>
      <w:r>
        <w:rPr>
          <w:rFonts w:hint="eastAsia" w:ascii="宋体" w:hAnsi="宋体"/>
          <w:color w:val="auto"/>
          <w:szCs w:val="21"/>
          <w:highlight w:val="none"/>
        </w:rPr>
        <w:t xml:space="preserve">供应商参加政</w:t>
      </w:r>
      <w:r>
        <w:rPr>
          <w:rFonts w:hint="eastAsia" w:ascii="宋体" w:hAnsi="宋体"/>
          <w:color w:val="auto"/>
          <w:highlight w:val="none"/>
        </w:rPr>
        <w:t xml:space="preserve">府采购活动应当具备的条件（提供复印件）：</w:t>
      </w:r>
      <w:r/>
    </w:p>
    <w:p>
      <w:pPr>
        <w:numPr>
          <w:ilvl w:val="0"/>
          <w:numId w:val="17"/>
        </w:numPr>
        <w:contextualSpacing/>
        <w:spacing w:line="400" w:lineRule="exact"/>
        <w:tabs>
          <w:tab w:val="left" w:pos="0" w:leader="none"/>
        </w:tabs>
        <w:rPr>
          <w:rFonts w:ascii="宋体" w:hAnsi="宋体"/>
          <w:color w:val="auto"/>
          <w:highlight w:val="none"/>
        </w:rPr>
      </w:pPr>
      <w:r>
        <w:rPr>
          <w:rFonts w:hint="eastAsia" w:ascii="宋体" w:hAnsi="宋体"/>
          <w:color w:val="auto"/>
          <w:highlight w:val="none"/>
        </w:rPr>
        <w:t xml:space="preserve">具有独立承担民事责任的能力（提供响应单位法人或者其他组织的营业执照等证明文件，自然人的身份证明）；</w:t>
      </w:r>
      <w:r/>
    </w:p>
    <w:p>
      <w:pPr>
        <w:numPr>
          <w:ilvl w:val="0"/>
          <w:numId w:val="17"/>
        </w:numPr>
        <w:contextualSpacing/>
        <w:spacing w:line="400" w:lineRule="exact"/>
        <w:tabs>
          <w:tab w:val="left" w:pos="0" w:leader="none"/>
        </w:tabs>
        <w:rPr>
          <w:rFonts w:ascii="宋体" w:hAnsi="宋体"/>
          <w:color w:val="auto"/>
          <w:highlight w:val="none"/>
        </w:rPr>
      </w:pPr>
      <w:r>
        <w:rPr>
          <w:rFonts w:hint="eastAsia" w:ascii="宋体" w:hAnsi="宋体"/>
          <w:color w:val="auto"/>
          <w:highlight w:val="none"/>
        </w:rPr>
        <w:t xml:space="preserve">具有良好的商业信誉和健全的财务会计制度（提供响应单位参加本次政府采购前的财务报表或银行出具的资信证明</w:t>
      </w:r>
      <w:r>
        <w:rPr>
          <w:rFonts w:hint="eastAsia" w:ascii="宋体" w:hAnsi="宋体"/>
          <w:color w:val="auto"/>
          <w:highlight w:val="none"/>
          <w:lang w:val="en-US" w:eastAsia="zh-CN"/>
        </w:rPr>
        <w:t xml:space="preserve">或审计报告</w:t>
      </w:r>
      <w:r>
        <w:rPr>
          <w:rFonts w:hint="eastAsia" w:ascii="宋体" w:hAnsi="宋体"/>
          <w:color w:val="auto"/>
          <w:highlight w:val="none"/>
        </w:rPr>
        <w:t xml:space="preserve">）；</w:t>
      </w:r>
      <w:r/>
    </w:p>
    <w:p>
      <w:pPr>
        <w:numPr>
          <w:ilvl w:val="0"/>
          <w:numId w:val="17"/>
        </w:numPr>
        <w:contextualSpacing/>
        <w:spacing w:line="400" w:lineRule="exact"/>
        <w:tabs>
          <w:tab w:val="left" w:pos="0" w:leader="none"/>
        </w:tabs>
        <w:rPr>
          <w:rFonts w:ascii="宋体" w:hAnsi="宋体"/>
          <w:color w:val="auto"/>
          <w:highlight w:val="none"/>
        </w:rPr>
      </w:pPr>
      <w:r>
        <w:rPr>
          <w:rFonts w:hint="eastAsia" w:ascii="宋体" w:hAnsi="宋体"/>
          <w:color w:val="auto"/>
          <w:highlight w:val="none"/>
        </w:rPr>
        <w:t xml:space="preserve">具有履行合同所必需的设备和专业技术能力（企业法人性质的政府采购供应商应在经工商管理部门核准登记注册的经营范围内参与经营活动，提供具有履行合同所必需的设备和专业技术能力的证明材料）；</w:t>
      </w:r>
      <w:r/>
    </w:p>
    <w:p>
      <w:pPr>
        <w:numPr>
          <w:ilvl w:val="0"/>
          <w:numId w:val="17"/>
        </w:numPr>
        <w:contextualSpacing/>
        <w:spacing w:line="400" w:lineRule="exact"/>
        <w:tabs>
          <w:tab w:val="left" w:pos="0" w:leader="none"/>
        </w:tabs>
        <w:rPr>
          <w:rFonts w:ascii="宋体" w:hAnsi="宋体"/>
          <w:color w:val="auto"/>
          <w:highlight w:val="none"/>
        </w:rPr>
      </w:pPr>
      <w:r>
        <w:rPr>
          <w:rFonts w:hint="eastAsia" w:ascii="宋体" w:hAnsi="宋体"/>
          <w:color w:val="auto"/>
          <w:highlight w:val="none"/>
        </w:rPr>
        <w:t xml:space="preserve">有依法缴纳税收和社会保障资金的良好记录（应商参加本次政府采购活动前半年内（至少一个月）依法缴纳税收和社会保险的凭据）；</w:t>
      </w:r>
      <w:r/>
    </w:p>
    <w:p>
      <w:pPr>
        <w:numPr>
          <w:ilvl w:val="0"/>
          <w:numId w:val="17"/>
        </w:numPr>
        <w:contextualSpacing/>
        <w:spacing w:line="400" w:lineRule="exact"/>
        <w:tabs>
          <w:tab w:val="left" w:pos="0" w:leader="none"/>
        </w:tabs>
        <w:rPr>
          <w:rFonts w:ascii="宋体" w:hAnsi="宋体"/>
          <w:color w:val="auto"/>
          <w:highlight w:val="none"/>
        </w:rPr>
      </w:pPr>
      <w:r>
        <w:rPr>
          <w:rFonts w:hint="eastAsia" w:ascii="宋体" w:hAnsi="宋体"/>
          <w:color w:val="auto"/>
          <w:highlight w:val="none"/>
        </w:rPr>
        <w:t xml:space="preserve">参加政府采购活动前三年内，在经营活动中没有出现重大违法记录（提供书面声明）；</w:t>
      </w:r>
      <w:r/>
    </w:p>
    <w:p>
      <w:pPr>
        <w:numPr>
          <w:ilvl w:val="0"/>
          <w:numId w:val="16"/>
        </w:numPr>
        <w:spacing w:line="400" w:lineRule="exac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符合</w:t>
      </w:r>
      <w:r>
        <w:rPr>
          <w:rFonts w:hint="eastAsia"/>
          <w:b/>
          <w:bCs/>
          <w:color w:val="auto"/>
          <w:highlight w:val="none"/>
        </w:rPr>
        <w:t xml:space="preserve">性审查响应文件</w:t>
      </w:r>
      <w:r>
        <w:rPr>
          <w:rFonts w:hint="eastAsia" w:ascii="宋体" w:hAnsi="宋体"/>
          <w:b/>
          <w:bCs/>
          <w:color w:val="auto"/>
          <w:highlight w:val="none"/>
        </w:rPr>
        <w:t xml:space="preserve">：</w:t>
      </w:r>
      <w:r/>
    </w:p>
    <w:p>
      <w:pPr>
        <w:numPr>
          <w:ilvl w:val="1"/>
          <w:numId w:val="16"/>
        </w:numPr>
        <w:spacing w:line="400" w:lineRule="exact"/>
        <w:tabs>
          <w:tab w:val="left" w:pos="540" w:leader="none"/>
        </w:tabs>
        <w:rPr>
          <w:rFonts w:ascii="宋体" w:hAnsi="宋体"/>
          <w:color w:val="auto"/>
          <w:szCs w:val="21"/>
          <w:highlight w:val="none"/>
        </w:rPr>
      </w:pPr>
      <w:r>
        <w:rPr>
          <w:rFonts w:hint="eastAsia" w:ascii="宋体" w:hAnsi="宋体"/>
          <w:color w:val="auto"/>
          <w:highlight w:val="none"/>
        </w:rPr>
        <w:t xml:space="preserve">响</w:t>
      </w:r>
      <w:r>
        <w:rPr>
          <w:rFonts w:hint="eastAsia" w:ascii="宋体" w:hAnsi="宋体"/>
          <w:color w:val="auto"/>
          <w:szCs w:val="21"/>
          <w:highlight w:val="none"/>
        </w:rPr>
        <w:t xml:space="preserve">应货物的数量、品牌、规格、技术参数、指标、质量要求、偏离说明等；</w:t>
      </w:r>
      <w:r/>
    </w:p>
    <w:p>
      <w:pPr>
        <w:numPr>
          <w:ilvl w:val="1"/>
          <w:numId w:val="16"/>
        </w:numPr>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履约交付、质保、售后、服务响应等的书面服务承诺；</w:t>
      </w:r>
      <w:r/>
    </w:p>
    <w:p>
      <w:pPr>
        <w:numPr>
          <w:ilvl w:val="1"/>
          <w:numId w:val="16"/>
        </w:numPr>
        <w:spacing w:line="400" w:lineRule="exact"/>
        <w:tabs>
          <w:tab w:val="left" w:pos="540" w:leader="none"/>
        </w:tabs>
        <w:rPr>
          <w:rFonts w:ascii="宋体" w:hAnsi="宋体" w:cs="宋体"/>
          <w:color w:val="auto"/>
          <w:highlight w:val="none"/>
        </w:rPr>
      </w:pPr>
      <w:r>
        <w:rPr>
          <w:rFonts w:hint="eastAsia" w:ascii="宋体" w:hAnsi="宋体" w:cs="宋体"/>
          <w:color w:val="auto"/>
          <w:szCs w:val="21"/>
          <w:highlight w:val="none"/>
        </w:rPr>
        <w:t xml:space="preserve">其他需供应商对本次响应作出的详细说明、承诺等；</w:t>
      </w:r>
      <w:r/>
    </w:p>
    <w:p>
      <w:pPr>
        <w:numPr>
          <w:ilvl w:val="0"/>
          <w:numId w:val="16"/>
        </w:numPr>
        <w:spacing w:line="400" w:lineRule="exact"/>
        <w:tabs>
          <w:tab w:val="left" w:pos="54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企业报价折扣证明：</w:t>
      </w:r>
      <w:r/>
    </w:p>
    <w:p>
      <w:pPr>
        <w:numPr>
          <w:ilvl w:val="1"/>
          <w:numId w:val="16"/>
        </w:numPr>
        <w:spacing w:line="400" w:lineRule="exact"/>
        <w:tabs>
          <w:tab w:val="left" w:pos="540" w:leader="none"/>
        </w:tabs>
        <w:rPr>
          <w:rFonts w:ascii="宋体" w:hAnsi="宋体" w:cs="宋体"/>
          <w:color w:val="auto"/>
          <w:highlight w:val="none"/>
        </w:rPr>
      </w:pPr>
      <w:r>
        <w:rPr>
          <w:rFonts w:hint="eastAsia" w:ascii="宋体" w:hAnsi="宋体" w:cs="宋体"/>
          <w:color w:val="auto"/>
          <w:szCs w:val="21"/>
          <w:highlight w:val="none"/>
        </w:rPr>
        <w:t xml:space="preserve">属于中型企业或小型企业或微型企业或残疾人企业或监狱企业的相关材料。</w:t>
      </w:r>
      <w:r/>
    </w:p>
    <w:p>
      <w:pPr>
        <w:contextualSpacing/>
        <w:spacing w:line="400" w:lineRule="exact"/>
        <w:tabs>
          <w:tab w:val="left" w:pos="0" w:leader="none"/>
        </w:tabs>
        <w:rPr>
          <w:rFonts w:ascii="宋体" w:hAnsi="宋体" w:cs="宋体"/>
          <w:b/>
          <w:bCs/>
          <w:color w:val="auto"/>
          <w:highlight w:val="none"/>
        </w:rPr>
      </w:pPr>
      <w:r>
        <w:rPr>
          <w:rFonts w:hint="eastAsia" w:ascii="宋体" w:hAnsi="宋体" w:cs="宋体"/>
          <w:b/>
          <w:bCs/>
          <w:color w:val="auto"/>
          <w:highlight w:val="none"/>
        </w:rPr>
        <w:t xml:space="preserve">（二）电子投标（响应）文件的编制与提交 </w:t>
      </w:r>
      <w:r/>
    </w:p>
    <w:p>
      <w:pPr>
        <w:numPr>
          <w:ilvl w:val="0"/>
          <w:numId w:val="18"/>
        </w:numPr>
        <w:spacing w:line="400" w:lineRule="exact"/>
        <w:tabs>
          <w:tab w:val="left" w:pos="540" w:leader="none"/>
        </w:tabs>
        <w:rPr>
          <w:rFonts w:ascii="宋体" w:hAnsi="宋体"/>
          <w:color w:val="auto"/>
          <w:szCs w:val="21"/>
          <w:highlight w:val="none"/>
        </w:rPr>
      </w:pPr>
      <w:r>
        <w:rPr>
          <w:rFonts w:hint="eastAsia" w:ascii="宋体" w:hAnsi="宋体" w:cs="宋体"/>
          <w:color w:val="auto"/>
          <w:szCs w:val="21"/>
          <w:highlight w:val="none"/>
        </w:rPr>
        <w:t xml:space="preserve">电子响应文件按上述文件组成统一顺序、统一</w:t>
      </w:r>
      <w:r>
        <w:rPr>
          <w:rFonts w:hint="eastAsia" w:ascii="宋体" w:hAnsi="宋体"/>
          <w:color w:val="auto"/>
          <w:szCs w:val="21"/>
          <w:highlight w:val="none"/>
        </w:rPr>
        <w:t xml:space="preserve">格式编写。</w:t>
      </w:r>
      <w:r/>
    </w:p>
    <w:p>
      <w:pPr>
        <w:numPr>
          <w:ilvl w:val="0"/>
          <w:numId w:val="18"/>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电子投标（响应）文件制作：本项目采用电子网上招投标，请供应商插入CA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w:t>
      </w:r>
      <w:r/>
    </w:p>
    <w:p>
      <w:pPr>
        <w:numPr>
          <w:ilvl w:val="0"/>
          <w:numId w:val="18"/>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numPr>
          <w:ilvl w:val="0"/>
          <w:numId w:val="18"/>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请投标人务必保管好编制递交电子投标（响应）文件时使用的CA，如因丢失、损坏等原因更换CA锁时，需重新制作电子投标（响应）文件并递交，否则可能无法解密，因此导致的响应失败等不利后果由投标人自行承担。</w:t>
      </w:r>
      <w:r/>
    </w:p>
    <w:p>
      <w:pPr>
        <w:numPr>
          <w:ilvl w:val="0"/>
          <w:numId w:val="18"/>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0"/>
          <w:numId w:val="18"/>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电子投标文件中的资料应按采购文件的要求加盖投标人的电子签章或公章。</w:t>
      </w:r>
      <w:r/>
    </w:p>
    <w:p>
      <w:pPr>
        <w:numPr>
          <w:ilvl w:val="0"/>
          <w:numId w:val="18"/>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未按照要求编制电子投标文件，未按照要求在电子投标文件上加盖电子签章的，均视为无效投标。</w:t>
      </w:r>
      <w:r/>
    </w:p>
    <w:p>
      <w:pPr>
        <w:numPr>
          <w:ilvl w:val="0"/>
          <w:numId w:val="6"/>
        </w:numPr>
        <w:contextualSpacing/>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rPr>
        <w:t xml:space="preserve">谈判</w:t>
      </w:r>
      <w:r>
        <w:rPr>
          <w:rFonts w:hint="eastAsia" w:ascii="宋体" w:hAnsi="宋体"/>
          <w:b/>
          <w:color w:val="auto"/>
          <w:highlight w:val="none"/>
        </w:rPr>
        <w:t xml:space="preserve">综合</w:t>
      </w:r>
      <w:r>
        <w:rPr>
          <w:rFonts w:hint="eastAsia" w:ascii="宋体" w:hAnsi="宋体"/>
          <w:b/>
          <w:color w:val="auto"/>
          <w:szCs w:val="21"/>
          <w:highlight w:val="none"/>
        </w:rPr>
        <w:t xml:space="preserve">说明：</w:t>
      </w:r>
      <w:r/>
    </w:p>
    <w:p>
      <w:pPr>
        <w:numPr>
          <w:ilvl w:val="0"/>
          <w:numId w:val="19"/>
        </w:numPr>
        <w:contextualSpacing/>
        <w:spacing w:line="400" w:lineRule="exact"/>
        <w:tabs>
          <w:tab w:val="left" w:pos="0" w:leader="none"/>
        </w:tabs>
        <w:rPr>
          <w:rFonts w:ascii="宋体" w:hAnsi="宋体"/>
          <w:color w:val="auto"/>
          <w:highlight w:val="none"/>
        </w:rPr>
      </w:pPr>
      <w:r>
        <w:rPr>
          <w:rFonts w:ascii="宋体" w:hAnsi="宋体"/>
          <w:color w:val="auto"/>
          <w:highlight w:val="none"/>
        </w:rPr>
        <w:t xml:space="preserve">本次</w:t>
      </w:r>
      <w:r>
        <w:rPr>
          <w:rFonts w:hint="eastAsia" w:ascii="宋体" w:hAnsi="宋体"/>
          <w:color w:val="auto"/>
          <w:highlight w:val="none"/>
        </w:rPr>
        <w:t xml:space="preserve">竞争性谈判</w:t>
      </w:r>
      <w:r>
        <w:rPr>
          <w:rFonts w:hint="eastAsia" w:ascii="宋体" w:hAnsi="宋体"/>
          <w:color w:val="auto"/>
          <w:highlight w:val="none"/>
          <w:lang w:val="en-US" w:eastAsia="zh-CN"/>
        </w:rPr>
        <w:t xml:space="preserve">不分</w:t>
      </w:r>
      <w:r>
        <w:rPr>
          <w:rFonts w:hint="eastAsia" w:ascii="宋体" w:hAnsi="宋体"/>
          <w:color w:val="auto"/>
          <w:highlight w:val="none"/>
        </w:rPr>
        <w:t xml:space="preserve">标段</w:t>
      </w:r>
      <w:r>
        <w:rPr>
          <w:rFonts w:ascii="宋体" w:hAnsi="宋体"/>
          <w:color w:val="auto"/>
          <w:highlight w:val="none"/>
        </w:rPr>
        <w:t xml:space="preserve">，各供应商须对全部内容进行响应，只报</w:t>
      </w:r>
      <w:r>
        <w:rPr>
          <w:rFonts w:hint="eastAsia" w:ascii="宋体" w:hAnsi="宋体"/>
          <w:color w:val="auto"/>
          <w:highlight w:val="none"/>
        </w:rPr>
        <w:t xml:space="preserve">标段内</w:t>
      </w:r>
      <w:r>
        <w:rPr>
          <w:rFonts w:ascii="宋体" w:hAnsi="宋体"/>
          <w:color w:val="auto"/>
          <w:highlight w:val="none"/>
        </w:rPr>
        <w:t xml:space="preserve">其中部分内容的，为无效报价，并不得出现选择性报价。</w:t>
      </w:r>
      <w:r/>
    </w:p>
    <w:p>
      <w:pPr>
        <w:numPr>
          <w:ilvl w:val="0"/>
          <w:numId w:val="19"/>
        </w:numPr>
        <w:contextualSpacing/>
        <w:spacing w:line="400" w:lineRule="exact"/>
        <w:tabs>
          <w:tab w:val="left" w:pos="0" w:leader="none"/>
        </w:tabs>
        <w:rPr>
          <w:rFonts w:ascii="宋体" w:hAnsi="宋体"/>
          <w:color w:val="auto"/>
          <w:szCs w:val="21"/>
          <w:highlight w:val="none"/>
        </w:rPr>
      </w:pPr>
      <w:r>
        <w:rPr>
          <w:rFonts w:hint="eastAsia" w:ascii="宋体" w:hAnsi="宋体"/>
          <w:color w:val="auto"/>
          <w:highlight w:val="none"/>
        </w:rPr>
        <w:t xml:space="preserve">供应商必须承诺谈判采购文件提出的全部要求，如果以其中某些条款不响应时，必须在文件中列出。</w:t>
      </w:r>
      <w:r/>
    </w:p>
    <w:p>
      <w:pPr>
        <w:numPr>
          <w:ilvl w:val="0"/>
          <w:numId w:val="19"/>
        </w:numPr>
        <w:contextualSpacing/>
        <w:spacing w:line="400" w:lineRule="exact"/>
        <w:tabs>
          <w:tab w:val="left" w:pos="0" w:leader="none"/>
        </w:tabs>
        <w:rPr>
          <w:rFonts w:ascii="宋体" w:hAnsi="宋体"/>
          <w:color w:val="auto"/>
          <w:szCs w:val="21"/>
          <w:highlight w:val="none"/>
        </w:rPr>
      </w:pPr>
      <w:r>
        <w:rPr>
          <w:rFonts w:hint="eastAsia"/>
          <w:color w:val="auto"/>
          <w:highlight w:val="none"/>
        </w:rPr>
        <w:t xml:space="preserve">谈判</w:t>
      </w:r>
      <w:r>
        <w:rPr>
          <w:rFonts w:hint="eastAsia"/>
          <w:color w:val="auto"/>
          <w:szCs w:val="21"/>
          <w:highlight w:val="none"/>
        </w:rPr>
        <w:t xml:space="preserve">保证金：本项目不收取谈判保证金。</w:t>
      </w:r>
      <w:r/>
    </w:p>
    <w:p>
      <w:pPr>
        <w:numPr>
          <w:ilvl w:val="0"/>
          <w:numId w:val="19"/>
        </w:numPr>
        <w:contextualSpacing/>
        <w:spacing w:line="400" w:lineRule="exact"/>
        <w:tabs>
          <w:tab w:val="left" w:pos="0" w:leader="none"/>
        </w:tabs>
        <w:rPr>
          <w:rFonts w:ascii="宋体" w:hAnsi="宋体"/>
          <w:color w:val="auto"/>
          <w:highlight w:val="none"/>
        </w:rPr>
      </w:pPr>
      <w:r>
        <w:rPr>
          <w:rFonts w:hint="eastAsia" w:ascii="宋体" w:hAnsi="宋体"/>
          <w:color w:val="auto"/>
          <w:highlight w:val="none"/>
        </w:rPr>
        <w:t xml:space="preserve">成交</w:t>
      </w:r>
      <w:r>
        <w:rPr>
          <w:rFonts w:ascii="宋体" w:hAnsi="宋体"/>
          <w:color w:val="auto"/>
          <w:highlight w:val="none"/>
        </w:rPr>
        <w:t xml:space="preserve">服务费</w:t>
      </w:r>
      <w:r>
        <w:rPr>
          <w:rFonts w:hint="eastAsia" w:ascii="宋体" w:hAnsi="宋体"/>
          <w:color w:val="auto"/>
          <w:highlight w:val="none"/>
          <w:lang w:eastAsia="zh-CN"/>
        </w:rPr>
        <w:t xml:space="preserve">：</w:t>
      </w:r>
      <w:r>
        <w:rPr>
          <w:rFonts w:hint="eastAsia" w:ascii="宋体" w:hAnsi="宋体"/>
          <w:color w:val="auto"/>
          <w:highlight w:val="none"/>
        </w:rPr>
        <w:t xml:space="preserve">按苏财购告【</w:t>
      </w:r>
      <w:r>
        <w:rPr>
          <w:rFonts w:ascii="宋体" w:hAnsi="宋体"/>
          <w:color w:val="auto"/>
          <w:highlight w:val="none"/>
        </w:rPr>
        <w:t xml:space="preserve">2016】31号规定</w:t>
      </w:r>
      <w:r>
        <w:rPr>
          <w:rFonts w:hint="eastAsia" w:ascii="宋体" w:hAnsi="宋体"/>
          <w:color w:val="auto"/>
          <w:highlight w:val="none"/>
        </w:rPr>
        <w:t xml:space="preserve">的收费标准，领取成交通知书时成交人向采购代理机构一次性付清。预算金额100万以下费率为预算金额的1.5%，预算金额100-500万部分费率为预算金额的1.1%。</w:t>
      </w:r>
      <w:r/>
    </w:p>
    <w:p>
      <w:pPr>
        <w:contextualSpacing/>
        <w:ind w:left="567"/>
        <w:spacing w:line="400" w:lineRule="exact"/>
        <w:tabs>
          <w:tab w:val="left" w:pos="0" w:leader="none"/>
        </w:tabs>
        <w:rPr>
          <w:rFonts w:ascii="宋体" w:hAnsi="宋体"/>
          <w:color w:val="auto"/>
          <w:highlight w:val="none"/>
        </w:rPr>
      </w:pPr>
      <w:r>
        <w:rPr>
          <w:rFonts w:ascii="宋体" w:hAnsi="宋体"/>
          <w:color w:val="auto"/>
          <w:highlight w:val="none"/>
        </w:rPr>
        <w:t xml:space="preserve">服务费交纳账户：苏州市</w:t>
      </w:r>
      <w:r>
        <w:rPr>
          <w:rFonts w:hint="eastAsia" w:ascii="宋体" w:hAnsi="宋体"/>
          <w:color w:val="auto"/>
          <w:highlight w:val="none"/>
        </w:rPr>
        <w:t xml:space="preserve">原鑫</w:t>
      </w:r>
      <w:r>
        <w:rPr>
          <w:rFonts w:ascii="宋体" w:hAnsi="宋体"/>
          <w:color w:val="auto"/>
          <w:highlight w:val="none"/>
        </w:rPr>
        <w:t xml:space="preserve">招投标咨询服务有限公司</w:t>
      </w:r>
      <w:r/>
    </w:p>
    <w:p>
      <w:pPr>
        <w:contextualSpacing/>
        <w:ind w:left="567"/>
        <w:spacing w:line="400" w:lineRule="exact"/>
        <w:tabs>
          <w:tab w:val="left" w:pos="0" w:leader="none"/>
        </w:tabs>
        <w:rPr>
          <w:rFonts w:ascii="宋体" w:hAnsi="宋体"/>
          <w:color w:val="auto"/>
          <w:highlight w:val="none"/>
        </w:rPr>
      </w:pPr>
      <w:r>
        <w:rPr>
          <w:rFonts w:ascii="宋体" w:hAnsi="宋体"/>
          <w:color w:val="auto"/>
          <w:highlight w:val="none"/>
        </w:rPr>
        <w:t xml:space="preserve">账号：</w:t>
      </w:r>
      <w:r>
        <w:rPr>
          <w:rFonts w:hint="eastAsia" w:ascii="宋体" w:hAnsi="宋体"/>
          <w:color w:val="auto"/>
          <w:highlight w:val="none"/>
        </w:rPr>
        <w:t xml:space="preserve">543058193738</w:t>
      </w:r>
      <w:r/>
    </w:p>
    <w:p>
      <w:pPr>
        <w:pStyle w:val="951"/>
        <w:contextualSpacing/>
        <w:ind w:left="567"/>
        <w:spacing w:line="400" w:lineRule="exact"/>
        <w:tabs>
          <w:tab w:val="left" w:pos="0" w:leader="none"/>
          <w:tab w:val="clear" w:pos="630" w:leader="none"/>
        </w:tabs>
        <w:rPr>
          <w:color w:val="auto"/>
          <w:szCs w:val="21"/>
          <w:highlight w:val="none"/>
        </w:rPr>
      </w:pPr>
      <w:r>
        <w:rPr>
          <w:color w:val="auto"/>
          <w:szCs w:val="21"/>
          <w:highlight w:val="none"/>
        </w:rPr>
        <w:t xml:space="preserve">开户银行：</w:t>
      </w:r>
      <w:r>
        <w:rPr>
          <w:rFonts w:hint="eastAsia"/>
          <w:color w:val="auto"/>
          <w:szCs w:val="21"/>
          <w:highlight w:val="none"/>
        </w:rPr>
        <w:t xml:space="preserve">中行南园支行</w:t>
      </w:r>
      <w:r/>
    </w:p>
    <w:p>
      <w:pPr>
        <w:numPr>
          <w:ilvl w:val="0"/>
          <w:numId w:val="19"/>
        </w:numPr>
        <w:contextualSpacing/>
        <w:spacing w:line="400" w:lineRule="exact"/>
        <w:tabs>
          <w:tab w:val="left" w:pos="0" w:leader="none"/>
        </w:tabs>
        <w:rPr>
          <w:rFonts w:ascii="宋体" w:hAnsi="宋体"/>
          <w:color w:val="auto"/>
          <w:highlight w:val="none"/>
        </w:rPr>
      </w:pPr>
      <w:r>
        <w:rPr>
          <w:rFonts w:hint="eastAsia" w:ascii="宋体" w:hAnsi="宋体"/>
          <w:color w:val="auto"/>
          <w:szCs w:val="21"/>
          <w:highlight w:val="none"/>
        </w:rPr>
        <w:t xml:space="preserve">履约保证金：</w:t>
      </w:r>
      <w:r>
        <w:rPr>
          <w:rFonts w:hint="eastAsia" w:ascii="宋体" w:hAnsi="宋体"/>
          <w:color w:val="auto"/>
          <w:highlight w:val="none"/>
        </w:rPr>
        <w:t xml:space="preserve">本项目不</w:t>
      </w:r>
      <w:r>
        <w:rPr>
          <w:rFonts w:hint="eastAsia"/>
          <w:color w:val="auto"/>
          <w:szCs w:val="21"/>
          <w:highlight w:val="none"/>
        </w:rPr>
        <w:t xml:space="preserve">收取</w:t>
      </w:r>
      <w:r>
        <w:rPr>
          <w:rFonts w:hint="eastAsia" w:ascii="宋体" w:hAnsi="宋体"/>
          <w:color w:val="auto"/>
          <w:highlight w:val="none"/>
        </w:rPr>
        <w:t xml:space="preserve">履约保证金。</w:t>
      </w:r>
      <w:r/>
    </w:p>
    <w:p>
      <w:pPr>
        <w:numPr>
          <w:ilvl w:val="0"/>
          <w:numId w:val="19"/>
        </w:numPr>
        <w:contextualSpacing/>
        <w:spacing w:line="400" w:lineRule="exact"/>
        <w:tabs>
          <w:tab w:val="left" w:pos="0" w:leader="none"/>
        </w:tabs>
        <w:rPr>
          <w:rFonts w:ascii="宋体" w:hAnsi="宋体"/>
          <w:color w:val="auto"/>
          <w:szCs w:val="21"/>
          <w:highlight w:val="none"/>
        </w:rPr>
      </w:pPr>
      <w:r>
        <w:rPr>
          <w:rFonts w:ascii="宋体" w:hAnsi="宋体"/>
          <w:color w:val="auto"/>
          <w:highlight w:val="none"/>
        </w:rPr>
        <w:t xml:space="preserve">知识产权</w:t>
      </w:r>
      <w:r>
        <w:rPr>
          <w:rFonts w:ascii="宋体" w:hAnsi="宋体"/>
          <w:color w:val="auto"/>
          <w:szCs w:val="21"/>
          <w:highlight w:val="none"/>
        </w:rPr>
        <w:t xml:space="preserve">：</w:t>
      </w:r>
      <w:r/>
    </w:p>
    <w:p>
      <w:pPr>
        <w:contextualSpacing/>
        <w:ind w:left="567"/>
        <w:spacing w:line="400" w:lineRule="exact"/>
        <w:tabs>
          <w:tab w:val="left" w:pos="0" w:leader="none"/>
        </w:tabs>
        <w:rPr>
          <w:color w:val="auto"/>
          <w:szCs w:val="21"/>
          <w:highlight w:val="none"/>
        </w:rPr>
      </w:pPr>
      <w:r>
        <w:rPr>
          <w:color w:val="auto"/>
          <w:highlight w:val="none"/>
        </w:rPr>
        <w:t xml:space="preserve">响应单位应保证采购单位免除且响应单位承担由于采购单位在其本国使用该</w:t>
      </w:r>
      <w:r>
        <w:rPr>
          <w:rFonts w:hint="eastAsia"/>
          <w:color w:val="auto"/>
          <w:highlight w:val="none"/>
        </w:rPr>
        <w:t xml:space="preserve">设备所需的设备和设计</w:t>
      </w:r>
      <w:r>
        <w:rPr>
          <w:color w:val="auto"/>
          <w:highlight w:val="none"/>
        </w:rPr>
        <w:t xml:space="preserve">或</w:t>
      </w:r>
      <w:r>
        <w:rPr>
          <w:rFonts w:hint="eastAsia"/>
          <w:color w:val="auto"/>
          <w:highlight w:val="none"/>
        </w:rPr>
        <w:t xml:space="preserve">其</w:t>
      </w:r>
      <w:r>
        <w:rPr>
          <w:color w:val="auto"/>
          <w:highlight w:val="none"/>
        </w:rPr>
        <w:t xml:space="preserve">任何一部分时而引起第三方提出的侵犯专利权、商标权或工业设计权的起诉、行动、行政程序索赔、请求等以及采购单位为此而产生的损失和损害、费用和支出（包括律师费）。</w:t>
      </w:r>
      <w:r/>
    </w:p>
    <w:p>
      <w:pPr>
        <w:numPr>
          <w:ilvl w:val="0"/>
          <w:numId w:val="19"/>
        </w:numPr>
        <w:contextualSpacing/>
        <w:spacing w:line="400" w:lineRule="exact"/>
        <w:tabs>
          <w:tab w:val="left" w:pos="0" w:leader="none"/>
        </w:tabs>
        <w:rPr>
          <w:rFonts w:ascii="宋体" w:hAnsi="宋体"/>
          <w:color w:val="auto"/>
          <w:szCs w:val="21"/>
          <w:highlight w:val="none"/>
        </w:rPr>
      </w:pPr>
      <w:r>
        <w:rPr>
          <w:rFonts w:hint="eastAsia" w:ascii="宋体" w:hAnsi="宋体"/>
          <w:color w:val="auto"/>
          <w:highlight w:val="none"/>
        </w:rPr>
        <w:t xml:space="preserve">谈判</w:t>
      </w:r>
      <w:r>
        <w:rPr>
          <w:rFonts w:hint="eastAsia" w:ascii="宋体" w:hAnsi="宋体"/>
          <w:color w:val="auto"/>
          <w:szCs w:val="21"/>
          <w:highlight w:val="none"/>
        </w:rPr>
        <w:t xml:space="preserve">说明：</w:t>
      </w:r>
      <w:r/>
    </w:p>
    <w:p>
      <w:pPr>
        <w:numPr>
          <w:ilvl w:val="0"/>
          <w:numId w:val="20"/>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不符合供应商资格要求的谈判响应文件将被拒绝；</w:t>
      </w:r>
      <w:r/>
    </w:p>
    <w:p>
      <w:pPr>
        <w:numPr>
          <w:ilvl w:val="0"/>
          <w:numId w:val="20"/>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参加谈判的供应商必须提供供应商代表的身份证明和法定代表人授权委托书（法定代表人为谈判代表的可不提供）；</w:t>
      </w:r>
      <w:r/>
    </w:p>
    <w:p>
      <w:pPr>
        <w:numPr>
          <w:ilvl w:val="0"/>
          <w:numId w:val="20"/>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谈判响应文件密封和签署不符合要求的，谈判响应文件将被拒绝；</w:t>
      </w:r>
      <w:r/>
    </w:p>
    <w:p>
      <w:pPr>
        <w:numPr>
          <w:ilvl w:val="0"/>
          <w:numId w:val="20"/>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不同投标（响应）人存在投标(响应)文件制作机器码一致的，视为无效响应； </w:t>
      </w:r>
      <w:r/>
    </w:p>
    <w:p>
      <w:pPr>
        <w:numPr>
          <w:ilvl w:val="0"/>
          <w:numId w:val="20"/>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实质性响应谈判文件不满三家、或进入二次报价的不满三家、或二次报价在采购预算内不满三家的，谈判采购失败。</w:t>
      </w:r>
      <w:r/>
    </w:p>
    <w:p>
      <w:pPr>
        <w:numPr>
          <w:ilvl w:val="0"/>
          <w:numId w:val="20"/>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最终合同单价按最终总报价同比例下（上）浮。</w:t>
      </w:r>
      <w:r/>
    </w:p>
    <w:p>
      <w:pPr>
        <w:numPr>
          <w:ilvl w:val="0"/>
          <w:numId w:val="19"/>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项目的终止</w:t>
      </w:r>
      <w:r/>
    </w:p>
    <w:p>
      <w:pPr>
        <w:contextualSpacing/>
        <w:ind w:left="567"/>
        <w:spacing w:line="400" w:lineRule="exact"/>
        <w:tabs>
          <w:tab w:val="left" w:pos="0" w:leader="none"/>
        </w:tabs>
        <w:rPr>
          <w:rFonts w:ascii="宋体" w:hAnsi="宋体"/>
          <w:color w:val="auto"/>
          <w:szCs w:val="21"/>
          <w:highlight w:val="none"/>
        </w:rPr>
      </w:pPr>
      <w:r>
        <w:rPr>
          <w:rFonts w:ascii="宋体" w:hAnsi="宋体"/>
          <w:color w:val="auto"/>
          <w:szCs w:val="21"/>
          <w:highlight w:val="none"/>
        </w:rPr>
        <w:t xml:space="preserve">出现下列情形之一的，</w:t>
      </w:r>
      <w:r>
        <w:rPr>
          <w:rFonts w:hint="eastAsia" w:ascii="宋体" w:hAnsi="宋体"/>
          <w:color w:val="auto"/>
          <w:szCs w:val="21"/>
          <w:highlight w:val="none"/>
        </w:rPr>
        <w:t xml:space="preserve">将</w:t>
      </w:r>
      <w:r>
        <w:rPr>
          <w:rFonts w:ascii="宋体" w:hAnsi="宋体"/>
          <w:color w:val="auto"/>
          <w:szCs w:val="21"/>
          <w:highlight w:val="none"/>
        </w:rPr>
        <w:t xml:space="preserve">终止采购活动：</w:t>
      </w:r>
      <w:r/>
    </w:p>
    <w:p>
      <w:pPr>
        <w:numPr>
          <w:ilvl w:val="0"/>
          <w:numId w:val="21"/>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因情况变化，不再符合规定的竞争性谈判采购方式适用情形的；</w:t>
      </w:r>
      <w:r/>
    </w:p>
    <w:p>
      <w:pPr>
        <w:numPr>
          <w:ilvl w:val="0"/>
          <w:numId w:val="21"/>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出现影响采购公正的违法、违规行为的；</w:t>
      </w:r>
      <w:r/>
    </w:p>
    <w:p>
      <w:pPr>
        <w:numPr>
          <w:ilvl w:val="0"/>
          <w:numId w:val="21"/>
        </w:numPr>
        <w:contextualSpacing/>
        <w:spacing w:line="400" w:lineRule="exact"/>
        <w:tabs>
          <w:tab w:val="left" w:pos="0" w:leader="none"/>
          <w:tab w:val="left" w:pos="1080" w:leader="none"/>
        </w:tabs>
        <w:rPr>
          <w:rFonts w:ascii="宋体" w:hAnsi="宋体"/>
          <w:color w:val="auto"/>
          <w:szCs w:val="21"/>
          <w:highlight w:val="none"/>
        </w:rPr>
      </w:pPr>
      <w:r>
        <w:rPr>
          <w:rFonts w:hint="eastAsia" w:ascii="宋体" w:hAnsi="宋体"/>
          <w:color w:val="auto"/>
          <w:highlight w:val="none"/>
        </w:rPr>
        <w:t xml:space="preserve">在采购过</w:t>
      </w:r>
      <w:r>
        <w:rPr>
          <w:rFonts w:ascii="宋体" w:hAnsi="宋体"/>
          <w:color w:val="auto"/>
          <w:szCs w:val="21"/>
          <w:highlight w:val="none"/>
        </w:rPr>
        <w:t xml:space="preserve">程中符合竞争要求的供应商或者报价未超过采购预算的供应商不足</w:t>
      </w:r>
      <w:r>
        <w:rPr>
          <w:rFonts w:hint="eastAsia" w:ascii="宋体" w:hAnsi="宋体"/>
          <w:color w:val="auto"/>
          <w:szCs w:val="21"/>
          <w:highlight w:val="none"/>
        </w:rPr>
        <w:t xml:space="preserve">三</w:t>
      </w:r>
      <w:r>
        <w:rPr>
          <w:rFonts w:ascii="宋体" w:hAnsi="宋体"/>
          <w:color w:val="auto"/>
          <w:szCs w:val="21"/>
          <w:highlight w:val="none"/>
        </w:rPr>
        <w:t xml:space="preserve">家的。</w:t>
      </w:r>
      <w:r/>
    </w:p>
    <w:p>
      <w:pPr>
        <w:numPr>
          <w:ilvl w:val="0"/>
          <w:numId w:val="19"/>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成交（未成交）通知书：</w:t>
      </w:r>
      <w:r/>
    </w:p>
    <w:p>
      <w:pPr>
        <w:numPr>
          <w:ilvl w:val="0"/>
          <w:numId w:val="22"/>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确定成交单位后在投标有效期截止前，采购代理机构将以书面形式通知成交的响应单位。</w:t>
      </w:r>
      <w:r/>
    </w:p>
    <w:p>
      <w:pPr>
        <w:numPr>
          <w:ilvl w:val="0"/>
          <w:numId w:val="22"/>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成交通知书将成为合同的组成部分。</w:t>
      </w:r>
      <w:r/>
    </w:p>
    <w:p>
      <w:pPr>
        <w:numPr>
          <w:ilvl w:val="0"/>
          <w:numId w:val="22"/>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采购人或采购代理机构对未成交单位不承担解释未成交原因的义务。</w:t>
      </w:r>
      <w:r/>
    </w:p>
    <w:p>
      <w:pPr>
        <w:numPr>
          <w:ilvl w:val="0"/>
          <w:numId w:val="22"/>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请成交单位在成交结果公告届满之日起30日内,使用CA证书登录“苏采云”系统及时下载成交通知书。因系统存储空间有限，自成交结果公告届满之日起30日后，“苏采云”系统不再保证提供下载中标通知书服务,因未及时下载而造成的不利后果由成交单位自行承担。</w:t>
      </w:r>
      <w:r/>
    </w:p>
    <w:p>
      <w:pPr>
        <w:numPr>
          <w:ilvl w:val="0"/>
          <w:numId w:val="22"/>
        </w:numPr>
        <w:contextualSpacing/>
        <w:spacing w:line="400" w:lineRule="exact"/>
        <w:tabs>
          <w:tab w:val="left" w:pos="0" w:leader="none"/>
          <w:tab w:val="left" w:pos="1080" w:leader="none"/>
        </w:tabs>
        <w:rPr>
          <w:rFonts w:ascii="宋体" w:hAnsi="宋体" w:cs="宋体"/>
          <w:color w:val="auto"/>
          <w:szCs w:val="21"/>
          <w:highlight w:val="none"/>
        </w:rPr>
      </w:pPr>
      <w:r>
        <w:rPr>
          <w:color w:val="auto"/>
          <w:highlight w:val="none"/>
        </w:rPr>
        <w:t xml:space="preserve">参与项目评审的未成交供应商可在成交公告</w:t>
      </w:r>
      <w:r>
        <w:rPr>
          <w:rFonts w:hint="eastAsia"/>
          <w:color w:val="auto"/>
          <w:highlight w:val="none"/>
        </w:rPr>
        <w:t xml:space="preserve">发布</w:t>
      </w:r>
      <w:r>
        <w:rPr>
          <w:color w:val="auto"/>
          <w:highlight w:val="none"/>
        </w:rPr>
        <w:t xml:space="preserve">之</w:t>
      </w:r>
      <w:r>
        <w:rPr>
          <w:rFonts w:ascii="宋体" w:hAnsi="宋体"/>
          <w:color w:val="auto"/>
          <w:highlight w:val="none"/>
        </w:rPr>
        <w:t xml:space="preserve">日起7个工</w:t>
      </w:r>
      <w:r>
        <w:rPr>
          <w:color w:val="auto"/>
          <w:highlight w:val="none"/>
        </w:rPr>
        <w:t xml:space="preserve">作日内电话咨询采购代理机构索取《未成交通知书》，采购代理机构</w:t>
      </w:r>
      <w:r>
        <w:rPr>
          <w:rFonts w:hint="eastAsia"/>
          <w:color w:val="auto"/>
          <w:highlight w:val="none"/>
        </w:rPr>
        <w:t xml:space="preserve">将</w:t>
      </w:r>
      <w:r>
        <w:rPr>
          <w:color w:val="auto"/>
          <w:highlight w:val="none"/>
        </w:rPr>
        <w:t xml:space="preserve">以电子邮件形式告知。未成交供应商未按约定的时间和方式获取告知信息的，视为</w:t>
      </w:r>
      <w:r>
        <w:rPr>
          <w:rFonts w:hint="eastAsia" w:ascii="宋体" w:hAnsi="宋体" w:cs="宋体"/>
          <w:color w:val="auto"/>
          <w:highlight w:val="none"/>
        </w:rPr>
        <w:t xml:space="preserve">自动放弃。</w:t>
      </w:r>
      <w:r/>
    </w:p>
    <w:p>
      <w:pPr>
        <w:numPr>
          <w:ilvl w:val="0"/>
          <w:numId w:val="19"/>
        </w:numPr>
        <w:contextualSpacing/>
        <w:spacing w:line="400" w:lineRule="exact"/>
        <w:tabs>
          <w:tab w:val="left" w:pos="0" w:leader="none"/>
        </w:tabs>
        <w:rPr>
          <w:rFonts w:ascii="宋体" w:hAnsi="宋体" w:cs="宋体"/>
          <w:b/>
          <w:bCs/>
          <w:color w:val="auto"/>
          <w:szCs w:val="21"/>
          <w:highlight w:val="none"/>
        </w:rPr>
      </w:pPr>
      <w:r>
        <w:rPr>
          <w:rFonts w:hint="eastAsia" w:ascii="宋体" w:hAnsi="宋体" w:cs="宋体"/>
          <w:color w:val="auto"/>
          <w:szCs w:val="21"/>
          <w:highlight w:val="none"/>
        </w:rPr>
        <w:t xml:space="preserve">凡</w:t>
      </w:r>
      <w:r>
        <w:rPr>
          <w:rFonts w:hint="eastAsia" w:ascii="宋体" w:hAnsi="宋体" w:cs="宋体"/>
          <w:color w:val="auto"/>
          <w:highlight w:val="none"/>
        </w:rPr>
        <w:t xml:space="preserve">涉及</w:t>
      </w:r>
      <w:r>
        <w:rPr>
          <w:rFonts w:hint="eastAsia" w:ascii="宋体" w:hAnsi="宋体" w:cs="宋体"/>
          <w:color w:val="auto"/>
          <w:szCs w:val="21"/>
          <w:highlight w:val="none"/>
        </w:rPr>
        <w:t xml:space="preserve">谈判采购文件的补充说明和修改</w:t>
      </w:r>
      <w:r>
        <w:rPr>
          <w:rFonts w:hint="eastAsia" w:ascii="宋体" w:hAnsi="宋体" w:cs="宋体"/>
          <w:color w:val="auto"/>
          <w:highlight w:val="none"/>
        </w:rPr>
        <w:t xml:space="preserve">，均以发布媒体上公示的通知为准。</w:t>
      </w:r>
      <w:r/>
    </w:p>
    <w:p>
      <w:pPr>
        <w:numPr>
          <w:ilvl w:val="0"/>
          <w:numId w:val="19"/>
        </w:numPr>
        <w:contextualSpacing/>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质疑事项</w:t>
      </w:r>
      <w:r/>
    </w:p>
    <w:p>
      <w:pPr>
        <w:numPr>
          <w:ilvl w:val="0"/>
          <w:numId w:val="23"/>
        </w:numPr>
        <w:contextualSpacing/>
        <w:spacing w:line="400" w:lineRule="exact"/>
        <w:tabs>
          <w:tab w:val="left" w:pos="0" w:leader="none"/>
          <w:tab w:val="left" w:pos="1080" w:leader="none"/>
        </w:tabs>
        <w:rPr>
          <w:rFonts w:ascii="宋体" w:hAnsi="宋体" w:cs="宋体"/>
          <w:color w:val="auto"/>
          <w:highlight w:val="none"/>
        </w:rPr>
      </w:pPr>
      <w:r>
        <w:rPr>
          <w:rFonts w:hint="eastAsia" w:ascii="宋体" w:hAnsi="宋体" w:cs="宋体"/>
          <w:color w:val="auto"/>
          <w:highlight w:val="none"/>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凡是对采购文件提出质疑的供应商，请将本项目政府采购网上报名确认单与质疑函一同递交。</w:t>
      </w:r>
      <w:r/>
    </w:p>
    <w:p>
      <w:pPr>
        <w:numPr>
          <w:ilvl w:val="0"/>
          <w:numId w:val="23"/>
        </w:numPr>
        <w:contextualSpacing/>
        <w:spacing w:line="400" w:lineRule="exact"/>
        <w:tabs>
          <w:tab w:val="left" w:pos="0" w:leader="none"/>
          <w:tab w:val="left" w:pos="1080" w:leader="none"/>
        </w:tabs>
        <w:rPr>
          <w:rFonts w:ascii="宋体" w:hAnsi="宋体" w:cs="宋体"/>
          <w:bCs/>
          <w:color w:val="auto"/>
          <w:szCs w:val="21"/>
          <w:highlight w:val="none"/>
        </w:rPr>
      </w:pPr>
      <w:r>
        <w:rPr>
          <w:rFonts w:hint="eastAsia" w:ascii="宋体" w:hAnsi="宋体" w:cs="宋体"/>
          <w:color w:val="auto"/>
          <w:highlight w:val="none"/>
        </w:rPr>
        <w:t xml:space="preserve">提出质疑的供应商应当是参与所质疑项目采购活动的供应商。供应商应当在法定质疑期内一次性提出针对同一采购程序</w:t>
      </w:r>
      <w:r>
        <w:rPr>
          <w:rFonts w:hint="eastAsia" w:ascii="宋体" w:hAnsi="宋体" w:cs="宋体"/>
          <w:bCs/>
          <w:color w:val="auto"/>
          <w:szCs w:val="21"/>
          <w:highlight w:val="none"/>
        </w:rPr>
        <w:t xml:space="preserve">环节的质疑。</w:t>
      </w:r>
      <w:r/>
    </w:p>
    <w:p>
      <w:pPr>
        <w:contextualSpacing/>
        <w:ind w:left="567"/>
        <w:spacing w:line="400" w:lineRule="exact"/>
        <w:tabs>
          <w:tab w:val="left" w:pos="0" w:leader="none"/>
        </w:tabs>
        <w:rPr>
          <w:rFonts w:ascii="宋体" w:hAnsi="宋体" w:cs="宋体"/>
          <w:color w:val="auto"/>
          <w:szCs w:val="21"/>
          <w:highlight w:val="none"/>
        </w:rPr>
      </w:pPr>
      <w:r>
        <w:rPr>
          <w:rFonts w:hint="eastAsia" w:ascii="宋体" w:hAnsi="宋体" w:cs="宋体"/>
          <w:bCs/>
          <w:color w:val="auto"/>
          <w:szCs w:val="21"/>
          <w:highlight w:val="none"/>
        </w:rPr>
        <w:t xml:space="preserve">接收</w:t>
      </w:r>
      <w:r>
        <w:rPr>
          <w:rFonts w:hint="eastAsia" w:ascii="宋体" w:hAnsi="宋体" w:cs="宋体"/>
          <w:color w:val="auto"/>
          <w:szCs w:val="21"/>
          <w:highlight w:val="none"/>
        </w:rPr>
        <w:t xml:space="preserve">质疑函的方式为书面形式（当场送达或邮寄方式）。</w:t>
      </w:r>
      <w:r/>
    </w:p>
    <w:p>
      <w:pPr>
        <w:contextualSpacing/>
        <w:ind w:left="567"/>
        <w:spacing w:line="400" w:lineRule="exact"/>
        <w:tabs>
          <w:tab w:val="left" w:pos="0" w:leader="none"/>
        </w:tabs>
        <w:rPr>
          <w:rFonts w:ascii="宋体" w:hAnsi="宋体"/>
          <w:color w:val="auto"/>
          <w:szCs w:val="21"/>
          <w:highlight w:val="none"/>
        </w:rPr>
      </w:pPr>
      <w:r>
        <w:rPr>
          <w:rFonts w:hint="eastAsia" w:ascii="宋体" w:hAnsi="宋体" w:cs="宋体"/>
          <w:color w:val="auto"/>
          <w:szCs w:val="21"/>
          <w:highlight w:val="none"/>
        </w:rPr>
        <w:t xml:space="preserve">质疑联系部门：业</w:t>
      </w:r>
      <w:r>
        <w:rPr>
          <w:rFonts w:hint="eastAsia" w:ascii="宋体" w:hAnsi="宋体"/>
          <w:color w:val="auto"/>
          <w:szCs w:val="21"/>
          <w:highlight w:val="none"/>
        </w:rPr>
        <w:t xml:space="preserve">务部-金健</w:t>
      </w:r>
      <w:r/>
    </w:p>
    <w:p>
      <w:pPr>
        <w:contextualSpacing/>
        <w:ind w:left="567"/>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联系电话：0512-68364647/68361806转8002</w:t>
      </w:r>
      <w:r/>
    </w:p>
    <w:p>
      <w:pPr>
        <w:contextualSpacing/>
        <w:ind w:left="567"/>
        <w:spacing w:line="400" w:lineRule="exact"/>
        <w:tabs>
          <w:tab w:val="left" w:pos="0" w:leader="none"/>
        </w:tabs>
        <w:rPr>
          <w:rFonts w:ascii="宋体" w:hAnsi="宋体"/>
          <w:bCs/>
          <w:color w:val="auto"/>
          <w:szCs w:val="21"/>
          <w:highlight w:val="none"/>
        </w:rPr>
      </w:pPr>
      <w:r>
        <w:rPr>
          <w:rFonts w:hint="eastAsia" w:ascii="宋体" w:hAnsi="宋体"/>
          <w:color w:val="auto"/>
          <w:szCs w:val="21"/>
          <w:highlight w:val="none"/>
        </w:rPr>
        <w:t xml:space="preserve">通讯地址：苏州市三</w:t>
      </w:r>
      <w:r>
        <w:rPr>
          <w:rFonts w:hint="eastAsia" w:ascii="宋体" w:hAnsi="宋体"/>
          <w:bCs/>
          <w:color w:val="auto"/>
          <w:szCs w:val="21"/>
          <w:highlight w:val="none"/>
        </w:rPr>
        <w:t xml:space="preserve">香路万盛大厦13楼B 座</w:t>
      </w:r>
      <w:r/>
    </w:p>
    <w:p>
      <w:pPr>
        <w:numPr>
          <w:ilvl w:val="0"/>
          <w:numId w:val="23"/>
        </w:numPr>
        <w:contextualSpacing/>
        <w:spacing w:line="400" w:lineRule="exact"/>
        <w:tabs>
          <w:tab w:val="left" w:pos="0" w:leader="none"/>
          <w:tab w:val="left" w:pos="1080" w:leader="none"/>
        </w:tabs>
        <w:rPr>
          <w:rFonts w:ascii="宋体" w:hAnsi="宋体"/>
          <w:color w:val="auto"/>
          <w:szCs w:val="21"/>
          <w:highlight w:val="none"/>
        </w:rPr>
      </w:pPr>
      <w:r>
        <w:rPr>
          <w:rFonts w:hint="eastAsia" w:ascii="宋体" w:hAnsi="宋体"/>
          <w:bCs/>
          <w:color w:val="auto"/>
          <w:szCs w:val="21"/>
          <w:highlight w:val="none"/>
        </w:rPr>
        <w:t xml:space="preserve">供应商可以委托代理人进行质疑。其授权委托书应当载明代理人的姓名或者名称、代理事项、具体权限、期限和</w:t>
      </w:r>
      <w:r>
        <w:rPr>
          <w:rFonts w:hint="eastAsia"/>
          <w:color w:val="auto"/>
          <w:highlight w:val="none"/>
        </w:rPr>
        <w:t xml:space="preserve">相关</w:t>
      </w:r>
      <w:r>
        <w:rPr>
          <w:rFonts w:hint="eastAsia" w:ascii="宋体" w:hAnsi="宋体"/>
          <w:bCs/>
          <w:color w:val="auto"/>
          <w:szCs w:val="21"/>
          <w:highlight w:val="none"/>
        </w:rPr>
        <w:t xml:space="preserve">事项。供应商为自然人的，应当由本人签字；供应商为法人或者其他组织的，应当由法定代表人、主要负责人签字或者盖章，并加盖公章。代理人提出质疑，应当提交供应商签署的授权委托书</w:t>
      </w:r>
      <w:r>
        <w:rPr>
          <w:rFonts w:hint="eastAsia" w:ascii="宋体" w:hAnsi="宋体"/>
          <w:color w:val="auto"/>
          <w:szCs w:val="21"/>
          <w:highlight w:val="none"/>
        </w:rPr>
        <w:t xml:space="preserve">。</w:t>
      </w:r>
      <w:r/>
    </w:p>
    <w:p>
      <w:pPr>
        <w:numPr>
          <w:ilvl w:val="0"/>
          <w:numId w:val="6"/>
        </w:numPr>
        <w:contextualSpacing/>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rPr>
        <w:t xml:space="preserve">谈判程序：</w:t>
      </w:r>
      <w:r/>
    </w:p>
    <w:p>
      <w:pPr>
        <w:numPr>
          <w:ilvl w:val="0"/>
          <w:numId w:val="24"/>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采购代理机构按规定的时间、地点主持谈判采购活动。</w:t>
      </w:r>
      <w:r/>
    </w:p>
    <w:p>
      <w:pPr>
        <w:numPr>
          <w:ilvl w:val="0"/>
          <w:numId w:val="24"/>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开标</w:t>
      </w:r>
      <w:r/>
    </w:p>
    <w:p>
      <w:pPr>
        <w:contextualSpacing/>
        <w:ind w:left="567"/>
        <w:spacing w:line="400" w:lineRule="exact"/>
        <w:tabs>
          <w:tab w:val="left" w:pos="0" w:leader="none"/>
        </w:tabs>
        <w:rPr>
          <w:rFonts w:ascii="宋体" w:hAnsi="宋体" w:cs="宋体"/>
          <w:color w:val="auto"/>
          <w:highlight w:val="none"/>
        </w:rPr>
      </w:pPr>
      <w:r>
        <w:rPr>
          <w:rFonts w:hint="eastAsia" w:ascii="宋体" w:hAnsi="宋体" w:cs="宋体"/>
          <w:color w:val="auto"/>
          <w:highlight w:val="none"/>
        </w:rPr>
        <w:t xml:space="preserve">供应商通过“苏采云”系统在线参与谈判采购活动。供应商应当按照《苏采云系统供应商操作手册》规定在“苏采云”系统规定的时间内对响应文件进行解密，并按要求在规定时间内进行其他响应操作。</w:t>
      </w:r>
      <w:r/>
    </w:p>
    <w:p>
      <w:pPr>
        <w:numPr>
          <w:ilvl w:val="0"/>
          <w:numId w:val="25"/>
        </w:numPr>
        <w:contextualSpacing/>
        <w:spacing w:line="400" w:lineRule="exact"/>
        <w:tabs>
          <w:tab w:val="left" w:pos="0" w:leader="none"/>
          <w:tab w:val="left" w:pos="1080" w:leader="none"/>
        </w:tabs>
        <w:rPr>
          <w:rFonts w:ascii="宋体" w:hAnsi="宋体"/>
          <w:bCs/>
          <w:color w:val="auto"/>
          <w:szCs w:val="21"/>
          <w:highlight w:val="none"/>
        </w:rPr>
      </w:pPr>
      <w:r>
        <w:rPr>
          <w:rFonts w:hint="eastAsia" w:ascii="宋体" w:hAnsi="宋体"/>
          <w:bCs/>
          <w:color w:val="auto"/>
          <w:szCs w:val="21"/>
          <w:highlight w:val="none"/>
        </w:rPr>
        <w:t xml:space="preserve">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numPr>
          <w:ilvl w:val="0"/>
          <w:numId w:val="25"/>
        </w:numPr>
        <w:contextualSpacing/>
        <w:spacing w:line="400" w:lineRule="exact"/>
        <w:tabs>
          <w:tab w:val="left" w:pos="0" w:leader="none"/>
          <w:tab w:val="left" w:pos="1080" w:leader="none"/>
        </w:tabs>
        <w:rPr>
          <w:rFonts w:ascii="宋体" w:hAnsi="宋体"/>
          <w:bCs/>
          <w:color w:val="auto"/>
          <w:szCs w:val="21"/>
          <w:highlight w:val="none"/>
        </w:rPr>
      </w:pPr>
      <w:r>
        <w:rPr>
          <w:rFonts w:hint="eastAsia" w:ascii="宋体" w:hAnsi="宋体"/>
          <w:bCs/>
          <w:color w:val="auto"/>
          <w:szCs w:val="21"/>
          <w:highlight w:val="none"/>
        </w:rPr>
        <w:t xml:space="preserve">线上参加（观看）开标（开启）会方式：登录“苏采云”系统，点击“开标大厅”，选择对应项目，点击进入不见面开标系统。</w:t>
      </w:r>
      <w:r/>
    </w:p>
    <w:p>
      <w:pPr>
        <w:numPr>
          <w:ilvl w:val="0"/>
          <w:numId w:val="25"/>
        </w:numPr>
        <w:contextualSpacing/>
        <w:spacing w:line="400" w:lineRule="exact"/>
        <w:tabs>
          <w:tab w:val="left" w:pos="0" w:leader="none"/>
          <w:tab w:val="left" w:pos="1080" w:leader="none"/>
        </w:tabs>
        <w:rPr>
          <w:rFonts w:ascii="宋体" w:hAnsi="宋体"/>
          <w:bCs/>
          <w:color w:val="auto"/>
          <w:szCs w:val="21"/>
          <w:highlight w:val="none"/>
        </w:rPr>
      </w:pPr>
      <w:r>
        <w:rPr>
          <w:rFonts w:hint="eastAsia" w:ascii="宋体" w:hAnsi="宋体"/>
          <w:bCs/>
          <w:color w:val="auto"/>
          <w:szCs w:val="21"/>
          <w:highlight w:val="none"/>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numPr>
          <w:ilvl w:val="0"/>
          <w:numId w:val="25"/>
        </w:numPr>
        <w:contextualSpacing/>
        <w:spacing w:line="400" w:lineRule="exact"/>
        <w:tabs>
          <w:tab w:val="left" w:pos="0" w:leader="none"/>
          <w:tab w:val="left" w:pos="1080" w:leader="none"/>
        </w:tabs>
        <w:rPr>
          <w:rFonts w:ascii="宋体" w:hAnsi="宋体"/>
          <w:bCs/>
          <w:color w:val="auto"/>
          <w:szCs w:val="21"/>
          <w:highlight w:val="none"/>
        </w:rPr>
      </w:pPr>
      <w:r>
        <w:rPr>
          <w:rFonts w:hint="eastAsia" w:ascii="宋体" w:hAnsi="宋体"/>
          <w:bCs/>
          <w:color w:val="auto"/>
          <w:szCs w:val="21"/>
          <w:highlight w:val="none"/>
        </w:rPr>
        <w:t xml:space="preserve">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numPr>
          <w:ilvl w:val="0"/>
          <w:numId w:val="25"/>
        </w:numPr>
        <w:contextualSpacing/>
        <w:spacing w:line="400" w:lineRule="exact"/>
        <w:tabs>
          <w:tab w:val="left" w:pos="0" w:leader="none"/>
          <w:tab w:val="left" w:pos="1080" w:leader="none"/>
        </w:tabs>
        <w:rPr>
          <w:rFonts w:ascii="宋体" w:hAnsi="宋体" w:cs="宋体"/>
          <w:color w:val="auto"/>
          <w:highlight w:val="none"/>
        </w:rPr>
      </w:pPr>
      <w:r>
        <w:rPr>
          <w:rFonts w:hint="eastAsia" w:ascii="宋体" w:hAnsi="宋体"/>
          <w:bCs/>
          <w:color w:val="auto"/>
          <w:szCs w:val="21"/>
          <w:highlight w:val="none"/>
        </w:rPr>
        <w:t xml:space="preserve">投标人在“苏采云”系统规定的时间</w:t>
      </w:r>
      <w:r>
        <w:rPr>
          <w:rFonts w:hint="eastAsia" w:ascii="宋体" w:hAnsi="宋体" w:cs="宋体"/>
          <w:color w:val="auto"/>
          <w:highlight w:val="none"/>
        </w:rPr>
        <w:t xml:space="preserve">内未成功解密电子投标文件的，投标无效。</w:t>
      </w:r>
      <w:r/>
    </w:p>
    <w:p>
      <w:pPr>
        <w:numPr>
          <w:ilvl w:val="0"/>
          <w:numId w:val="25"/>
        </w:numPr>
        <w:contextualSpacing/>
        <w:spacing w:line="400" w:lineRule="exact"/>
        <w:tabs>
          <w:tab w:val="left" w:pos="0" w:leader="none"/>
          <w:tab w:val="left" w:pos="1080" w:leader="none"/>
        </w:tabs>
        <w:rPr>
          <w:rFonts w:ascii="宋体" w:hAnsi="宋体" w:cs="宋体"/>
          <w:color w:val="auto"/>
          <w:highlight w:val="none"/>
        </w:rPr>
      </w:pPr>
      <w:r>
        <w:rPr>
          <w:rFonts w:hint="eastAsia" w:ascii="宋体" w:hAnsi="宋体"/>
          <w:bCs/>
          <w:color w:val="auto"/>
          <w:szCs w:val="21"/>
          <w:highlight w:val="none"/>
        </w:rPr>
        <w:t xml:space="preserve">投标</w:t>
      </w:r>
      <w:r>
        <w:rPr>
          <w:rFonts w:hint="eastAsia" w:ascii="宋体" w:hAnsi="宋体" w:cs="宋体"/>
          <w:color w:val="auto"/>
          <w:highlight w:val="none"/>
        </w:rPr>
        <w:t xml:space="preserve">人电脑环境最低要求：谷歌浏览器，版本可直接网上下载最新版本即可。如需收听现场语音需配置放音设备，如视频直播、互动交流使用异常，请刷新网页，如仍无法解决，请联系技术支持。</w:t>
      </w:r>
      <w:r/>
    </w:p>
    <w:p>
      <w:pPr>
        <w:numPr>
          <w:ilvl w:val="0"/>
          <w:numId w:val="24"/>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由谈判小组审查供应商提交的响应文件。</w:t>
      </w:r>
      <w:r/>
    </w:p>
    <w:p>
      <w:pPr>
        <w:numPr>
          <w:ilvl w:val="0"/>
          <w:numId w:val="24"/>
        </w:numPr>
        <w:contextualSpacing/>
        <w:spacing w:line="400" w:lineRule="exact"/>
        <w:tabs>
          <w:tab w:val="left" w:pos="0" w:leader="none"/>
        </w:tabs>
        <w:rPr>
          <w:rFonts w:ascii="宋体" w:hAnsi="宋体" w:cs="宋体"/>
          <w:color w:val="auto"/>
          <w:highlight w:val="none"/>
        </w:rPr>
      </w:pPr>
      <w:r>
        <w:rPr>
          <w:rFonts w:hint="eastAsia" w:ascii="宋体" w:hAnsi="宋体" w:cs="宋体"/>
          <w:color w:val="auto"/>
          <w:highlight w:val="none"/>
        </w:rPr>
        <w:t xml:space="preserve">采购人在对响应文件的资格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关于多家供应商提供同品牌同型号产品情形的评审按苏财购告【2018】10号执行。</w:t>
      </w:r>
      <w:r/>
    </w:p>
    <w:p>
      <w:pPr>
        <w:numPr>
          <w:ilvl w:val="0"/>
          <w:numId w:val="24"/>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谈判小组所有成员集中与单一供应商分别进行谈判，并给予所有参加谈判的供应商平等的谈判机会。</w:t>
      </w:r>
      <w:r/>
    </w:p>
    <w:p>
      <w:pPr>
        <w:numPr>
          <w:ilvl w:val="0"/>
          <w:numId w:val="24"/>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在谈判过程中，谈判小组可以根据谈判文件和谈判情况实质性变动采购需求中的技术、服务要求以及合同草案条款。对谈判文件作出的实质性变动是谈判文件的有效组成部分，谈判小组将及时以书面形式同时通知所有参加谈判的供应商。</w:t>
      </w:r>
      <w:r/>
    </w:p>
    <w:p>
      <w:pPr>
        <w:numPr>
          <w:ilvl w:val="0"/>
          <w:numId w:val="24"/>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供应商应当按照谈判文件的变动情况和谈判小组的要求重新提交响应文件，并由其法定代表人或授权代表签字或者加盖公章。</w:t>
      </w:r>
      <w:r/>
    </w:p>
    <w:p>
      <w:pPr>
        <w:numPr>
          <w:ilvl w:val="0"/>
          <w:numId w:val="24"/>
        </w:numPr>
        <w:contextualSpacing/>
        <w:spacing w:line="400" w:lineRule="exact"/>
        <w:tabs>
          <w:tab w:val="left" w:pos="0" w:leader="none"/>
        </w:tabs>
        <w:rPr>
          <w:rFonts w:ascii="宋体" w:hAnsi="宋体" w:cs="宋体"/>
          <w:color w:val="auto"/>
          <w:highlight w:val="none"/>
        </w:rPr>
      </w:pPr>
      <w:r>
        <w:rPr>
          <w:rFonts w:hint="eastAsia" w:ascii="宋体" w:hAnsi="宋体"/>
          <w:color w:val="auto"/>
          <w:szCs w:val="21"/>
          <w:highlight w:val="none"/>
        </w:rPr>
        <w:t xml:space="preserve">澄清、二</w:t>
      </w:r>
      <w:r>
        <w:rPr>
          <w:rFonts w:hint="eastAsia" w:ascii="宋体" w:hAnsi="宋体" w:cs="宋体"/>
          <w:color w:val="auto"/>
          <w:highlight w:val="none"/>
        </w:rPr>
        <w:t xml:space="preserve">次报价</w:t>
      </w:r>
      <w:r/>
    </w:p>
    <w:p>
      <w:pPr>
        <w:ind w:right="-153" w:firstLine="422"/>
        <w:spacing w:line="440" w:lineRule="exact"/>
        <w:rPr>
          <w:rFonts w:ascii="宋体" w:hAnsi="宋体" w:cs="宋体"/>
          <w:b/>
          <w:color w:val="auto"/>
          <w:highlight w:val="none"/>
        </w:rPr>
        <w:outlineLvl w:val="0"/>
      </w:pPr>
      <w:r>
        <w:rPr>
          <w:rFonts w:hint="eastAsia" w:ascii="宋体" w:hAnsi="宋体" w:cs="宋体"/>
          <w:b/>
          <w:color w:val="auto"/>
          <w:highlight w:val="none"/>
        </w:rPr>
        <w:t xml:space="preserve">（1）本项目采用线上澄清</w:t>
      </w:r>
      <w:r/>
    </w:p>
    <w:p>
      <w:pPr>
        <w:ind w:right="-153" w:firstLine="420"/>
        <w:spacing w:line="440" w:lineRule="exact"/>
        <w:rPr>
          <w:rFonts w:ascii="宋体" w:hAnsi="宋体" w:cs="宋体"/>
          <w:bCs/>
          <w:color w:val="auto"/>
          <w:highlight w:val="none"/>
          <w:lang w:val="zh-CN"/>
        </w:rPr>
        <w:outlineLvl w:val="0"/>
      </w:pPr>
      <w:r>
        <w:rPr>
          <w:rFonts w:hint="eastAsia" w:ascii="宋体" w:hAnsi="宋体" w:cs="宋体"/>
          <w:bCs/>
          <w:color w:val="auto"/>
          <w:highlight w:val="none"/>
          <w:lang w:val="zh-CN"/>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right="-153" w:firstLine="422"/>
        <w:spacing w:line="440" w:lineRule="exact"/>
        <w:rPr>
          <w:rFonts w:ascii="宋体" w:hAnsi="宋体" w:cs="宋体"/>
          <w:b/>
          <w:color w:val="auto"/>
          <w:highlight w:val="none"/>
        </w:rPr>
        <w:outlineLvl w:val="0"/>
      </w:pPr>
      <w:r>
        <w:rPr>
          <w:rFonts w:hint="eastAsia" w:ascii="宋体" w:hAnsi="宋体" w:cs="宋体"/>
          <w:b/>
          <w:color w:val="auto"/>
          <w:highlight w:val="none"/>
        </w:rPr>
        <w:t xml:space="preserve">（2）本项目采用线上谈判</w:t>
      </w:r>
      <w:r/>
    </w:p>
    <w:p>
      <w:pPr>
        <w:ind w:right="-153" w:firstLine="420"/>
        <w:spacing w:line="440" w:lineRule="exact"/>
        <w:rPr>
          <w:rFonts w:ascii="宋体" w:hAnsi="宋体" w:cs="宋体"/>
          <w:bCs/>
          <w:color w:val="auto"/>
          <w:highlight w:val="none"/>
        </w:rPr>
        <w:outlineLvl w:val="0"/>
      </w:pPr>
      <w:r>
        <w:rPr>
          <w:rFonts w:hint="eastAsia" w:ascii="宋体" w:hAnsi="宋体" w:cs="宋体"/>
          <w:bCs/>
          <w:color w:val="auto"/>
          <w:highlight w:val="none"/>
        </w:rPr>
        <w:t xml:space="preserve">对于通过资格审查和符合性审查的供应商，谈判小组所有成员集中与单一供应商分别进行谈判，并给予所有参加谈判的供应商平等的谈判机会。谈判小组通过“苏采云”系统向供应商发布“谈判函”</w:t>
      </w:r>
      <w:r>
        <w:rPr>
          <w:rFonts w:hint="eastAsia" w:ascii="宋体" w:hAnsi="宋体"/>
          <w:color w:val="auto"/>
          <w:szCs w:val="21"/>
          <w:highlight w:val="none"/>
        </w:rPr>
        <w:t xml:space="preserve">（如需）</w:t>
      </w:r>
      <w:r>
        <w:rPr>
          <w:rFonts w:hint="eastAsia" w:ascii="宋体" w:hAnsi="宋体" w:cs="宋体"/>
          <w:bCs/>
          <w:color w:val="auto"/>
          <w:highlight w:val="none"/>
        </w:rPr>
        <w:t xml:space="preserve">，供应商应当按照要求在“苏采云”系统提交“谈判响应函”并加盖CA电子公章。</w:t>
      </w:r>
      <w:r/>
    </w:p>
    <w:p>
      <w:pPr>
        <w:ind w:right="-153" w:firstLine="422"/>
        <w:spacing w:line="440" w:lineRule="exact"/>
        <w:rPr>
          <w:rFonts w:ascii="宋体" w:hAnsi="宋体" w:cs="宋体"/>
          <w:b/>
          <w:color w:val="auto"/>
          <w:highlight w:val="none"/>
        </w:rPr>
        <w:outlineLvl w:val="0"/>
      </w:pPr>
      <w:r>
        <w:rPr>
          <w:rFonts w:hint="eastAsia" w:ascii="宋体" w:hAnsi="宋体" w:cs="宋体"/>
          <w:b/>
          <w:color w:val="auto"/>
          <w:highlight w:val="none"/>
        </w:rPr>
        <w:t xml:space="preserve">（3）本项目采用线上二次报价</w:t>
      </w:r>
      <w:r/>
    </w:p>
    <w:p>
      <w:pPr>
        <w:ind w:right="-153" w:firstLine="420"/>
        <w:spacing w:line="440" w:lineRule="exact"/>
        <w:rPr>
          <w:rFonts w:ascii="宋体" w:hAnsi="宋体" w:cs="宋体"/>
          <w:bCs/>
          <w:color w:val="auto"/>
          <w:highlight w:val="none"/>
        </w:rPr>
        <w:outlineLvl w:val="0"/>
      </w:pPr>
      <w:r>
        <w:rPr>
          <w:rFonts w:hint="eastAsia" w:ascii="宋体" w:hAnsi="宋体" w:cs="宋体"/>
          <w:bCs/>
          <w:color w:val="auto"/>
          <w:highlight w:val="none"/>
        </w:rPr>
        <w:t xml:space="preserve">谈判</w:t>
      </w:r>
      <w:r>
        <w:rPr>
          <w:rFonts w:hint="eastAsia" w:ascii="宋体" w:hAnsi="宋体" w:cs="宋体"/>
          <w:bCs/>
          <w:color w:val="auto"/>
          <w:highlight w:val="none"/>
          <w:lang w:val="zh-CN"/>
        </w:rPr>
        <w:t xml:space="preserve">结束后，谈判小组将在“苏采云”系统向所有实质性响应的供应商发布“最后报价要求函”及最后报价格式表</w:t>
      </w:r>
      <w:r>
        <w:rPr>
          <w:rFonts w:hint="eastAsia" w:ascii="宋体" w:hAnsi="宋体"/>
          <w:color w:val="auto"/>
          <w:szCs w:val="21"/>
          <w:highlight w:val="none"/>
        </w:rPr>
        <w:t xml:space="preserve">（如需）</w:t>
      </w:r>
      <w:r>
        <w:rPr>
          <w:rFonts w:hint="eastAsia" w:ascii="宋体" w:hAnsi="宋体" w:cs="宋体"/>
          <w:bCs/>
          <w:color w:val="auto"/>
          <w:highlight w:val="none"/>
          <w:lang w:val="zh-CN"/>
        </w:rPr>
        <w:t xml:space="preserve">，要求所有实质性响应的供应商在规定时间内提交最后报价。</w:t>
      </w:r>
      <w:r/>
    </w:p>
    <w:p>
      <w:pPr>
        <w:ind w:firstLine="420"/>
        <w:spacing w:line="440" w:lineRule="exact"/>
        <w:rPr>
          <w:rFonts w:ascii="宋体" w:hAnsi="宋体" w:cs="宋体"/>
          <w:bCs/>
          <w:color w:val="auto"/>
          <w:highlight w:val="none"/>
          <w:lang w:val="zh-CN"/>
        </w:rPr>
      </w:pPr>
      <w:r>
        <w:rPr>
          <w:rFonts w:hint="eastAsia" w:ascii="宋体" w:hAnsi="宋体" w:cs="宋体"/>
          <w:bCs/>
          <w:color w:val="auto"/>
          <w:highlight w:val="none"/>
        </w:rPr>
        <w:t xml:space="preserve">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Cs/>
          <w:color w:val="auto"/>
          <w:highlight w:val="none"/>
          <w:lang w:val="zh-CN"/>
        </w:rPr>
        <w:t xml:space="preserve">（此处规定时间的计算以系统中的倒计时间为准，系统中的线上最后报价只有一次机会，提交后无法撤回，请供应商慎重提交）。</w:t>
      </w:r>
      <w:r>
        <w:rPr>
          <w:b/>
          <w:bCs/>
          <w:color w:val="auto"/>
          <w:szCs w:val="21"/>
          <w:highlight w:val="none"/>
          <w:lang w:val="zh-CN"/>
        </w:rPr>
        <w:t xml:space="preserve">（除因谈判文件修改导致成本增加</w:t>
      </w:r>
      <w:r>
        <w:rPr>
          <w:rFonts w:hint="eastAsia"/>
          <w:b/>
          <w:bCs/>
          <w:color w:val="auto"/>
          <w:szCs w:val="21"/>
          <w:highlight w:val="none"/>
          <w:lang w:val="zh-CN"/>
        </w:rPr>
        <w:t xml:space="preserve">外</w:t>
      </w:r>
      <w:r>
        <w:rPr>
          <w:b/>
          <w:bCs/>
          <w:color w:val="auto"/>
          <w:szCs w:val="21"/>
          <w:highlight w:val="none"/>
          <w:lang w:val="zh-CN"/>
        </w:rPr>
        <w:t xml:space="preserve">，二次报价不得超过第一次报价，否则为无效响应报价）</w:t>
      </w:r>
      <w:r/>
    </w:p>
    <w:p>
      <w:pPr>
        <w:ind w:firstLine="420"/>
        <w:spacing w:line="440" w:lineRule="exact"/>
        <w:rPr>
          <w:rFonts w:ascii="宋体" w:hAnsi="宋体" w:cs="宋体"/>
          <w:bCs/>
          <w:color w:val="auto"/>
          <w:highlight w:val="none"/>
          <w:lang w:val="zh-CN"/>
        </w:rPr>
      </w:pPr>
      <w:r>
        <w:rPr>
          <w:rFonts w:hint="eastAsia" w:ascii="宋体" w:hAnsi="宋体" w:cs="宋体"/>
          <w:bCs/>
          <w:color w:val="auto"/>
          <w:highlight w:val="none"/>
          <w:lang w:val="zh-CN"/>
        </w:rPr>
        <w:t xml:space="preserve">已提交响应文件的供应商，在提交最后报价之前，可以根据谈判情况退出谈判。</w:t>
      </w:r>
      <w:r/>
    </w:p>
    <w:p>
      <w:pPr>
        <w:ind w:firstLine="420"/>
        <w:spacing w:line="440" w:lineRule="exact"/>
        <w:rPr>
          <w:rFonts w:ascii="宋体" w:hAnsi="宋体" w:cs="宋体"/>
          <w:bCs/>
          <w:color w:val="auto"/>
          <w:highlight w:val="none"/>
        </w:rPr>
      </w:pPr>
      <w:r>
        <w:rPr>
          <w:rFonts w:hint="eastAsia" w:ascii="宋体" w:hAnsi="宋体" w:cs="宋体"/>
          <w:bCs/>
          <w:color w:val="auto"/>
          <w:highlight w:val="none"/>
          <w:lang w:val="zh-CN"/>
        </w:rPr>
        <w:t xml:space="preserve">进入项目评审流程后，建议各供应商法定代表人或授权委托人始终保持通讯顺畅，及时登录苏采云系统查阅、答复相关信息。</w:t>
      </w:r>
      <w:r/>
    </w:p>
    <w:p>
      <w:pPr>
        <w:numPr>
          <w:ilvl w:val="0"/>
          <w:numId w:val="24"/>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谈判结束后，谈判小组将要求所有实质性响应的供应商在规定时间内提交最后报价，提交最后报价且符合得标条件的供应商不足3家的，谈判采购失败。</w:t>
      </w:r>
      <w:r/>
    </w:p>
    <w:p>
      <w:pPr>
        <w:numPr>
          <w:ilvl w:val="0"/>
          <w:numId w:val="24"/>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谈判小组根据谈判成交原则确定成交供应商，并将结果通知所有参加谈判的供应商。</w:t>
      </w:r>
      <w:r/>
    </w:p>
    <w:p>
      <w:pPr>
        <w:numPr>
          <w:ilvl w:val="0"/>
          <w:numId w:val="24"/>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如谈判过程中出现本采购文件未尽事宜，由谈判小组根据有关规定讨论决定。</w:t>
      </w:r>
      <w:r/>
    </w:p>
    <w:p>
      <w:pPr>
        <w:numPr>
          <w:ilvl w:val="0"/>
          <w:numId w:val="6"/>
        </w:numPr>
        <w:contextualSpacing/>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rPr>
        <w:t xml:space="preserve">谈判成交原则及评审内容：</w:t>
      </w:r>
      <w:r/>
    </w:p>
    <w:p>
      <w:pPr>
        <w:contextualSpacing/>
        <w:ind w:firstLine="420"/>
        <w:spacing w:line="400" w:lineRule="exact"/>
        <w:tabs>
          <w:tab w:val="left" w:pos="0" w:leader="none"/>
          <w:tab w:val="left" w:pos="2870" w:leader="none"/>
        </w:tabs>
        <w:rPr>
          <w:rFonts w:ascii="宋体" w:hAnsi="宋体"/>
          <w:bCs/>
          <w:color w:val="auto"/>
          <w:szCs w:val="21"/>
          <w:highlight w:val="none"/>
        </w:rPr>
      </w:pPr>
      <w:r>
        <w:rPr>
          <w:rFonts w:ascii="宋体" w:hAnsi="宋体"/>
          <w:bCs/>
          <w:color w:val="auto"/>
          <w:szCs w:val="21"/>
          <w:highlight w:val="none"/>
        </w:rPr>
        <w:t xml:space="preserve">（一）谈判成交原则：</w:t>
      </w:r>
      <w:r/>
    </w:p>
    <w:p>
      <w:pPr>
        <w:numPr>
          <w:ilvl w:val="0"/>
          <w:numId w:val="26"/>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本项目采用最低评标价法，即根据质量和服务均能满足采购文件实质性响应要求且最后报价最低的原则确定成交供应商</w:t>
      </w:r>
      <w:r>
        <w:rPr>
          <w:rFonts w:hint="eastAsia"/>
          <w:color w:val="auto"/>
          <w:szCs w:val="21"/>
          <w:highlight w:val="none"/>
        </w:rPr>
        <w:t xml:space="preserve">。</w:t>
      </w:r>
      <w:r>
        <w:rPr>
          <w:rFonts w:hint="eastAsia" w:ascii="宋体" w:hAnsi="宋体"/>
          <w:color w:val="auto"/>
          <w:szCs w:val="21"/>
          <w:highlight w:val="none"/>
        </w:rPr>
        <w:t xml:space="preserve">如出现最后报价最低的谈判供应商有两个或两个以上的，则由采购人以抽签方式确定成交供应商。本项目允许一家供应商同时兼中多个标段。</w:t>
      </w:r>
      <w:r/>
    </w:p>
    <w:p>
      <w:pPr>
        <w:numPr>
          <w:ilvl w:val="0"/>
          <w:numId w:val="26"/>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谈判小组各成员独立对谈判供应商的谈判响应文件按照谈判文件的规定和要求进行资格性和符合性评审，如评审内容条款均满足谈判文件要求的，则认为该供应商响应文件评审合格。如某一条款内容评审不合格，评委须注明评审不合格原因。</w:t>
      </w:r>
      <w:r/>
    </w:p>
    <w:p>
      <w:pPr>
        <w:numPr>
          <w:ilvl w:val="0"/>
          <w:numId w:val="26"/>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谈判小组为3人及以上单数。如某一评审条款出现评委意见不一致时，则按少数服从多数的原则，确定该项条款是否合格。</w:t>
      </w:r>
      <w:r/>
    </w:p>
    <w:p>
      <w:pPr>
        <w:numPr>
          <w:ilvl w:val="0"/>
          <w:numId w:val="26"/>
        </w:numPr>
        <w:contextualSpacing/>
        <w:spacing w:line="400" w:lineRule="exact"/>
        <w:tabs>
          <w:tab w:val="left" w:pos="0" w:leader="none"/>
        </w:tabs>
        <w:rPr>
          <w:rFonts w:hint="eastAsia" w:ascii="宋体" w:hAnsi="宋体" w:cs="宋体"/>
          <w:color w:val="auto"/>
          <w:szCs w:val="21"/>
          <w:highlight w:val="none"/>
        </w:rPr>
      </w:pPr>
      <w:r>
        <w:rPr>
          <w:rFonts w:hint="eastAsia" w:ascii="宋体" w:hAnsi="宋体" w:eastAsia="宋体" w:cs="Times New Roman"/>
          <w:color w:val="auto"/>
          <w:szCs w:val="21"/>
          <w:highlight w:val="none"/>
        </w:rPr>
        <w:t xml:space="preserve">评审</w:t>
      </w:r>
      <w:r>
        <w:rPr>
          <w:rFonts w:hint="eastAsia" w:ascii="宋体" w:hAnsi="宋体" w:cs="宋体"/>
          <w:color w:val="auto"/>
          <w:szCs w:val="21"/>
          <w:highlight w:val="none"/>
        </w:rPr>
        <w:t xml:space="preserve">过程中出现下列情形之一的，评审委员会</w:t>
      </w:r>
      <w:r>
        <w:rPr>
          <w:rFonts w:hint="eastAsia" w:ascii="宋体" w:hAnsi="宋体" w:cs="宋体"/>
          <w:color w:val="auto"/>
          <w:szCs w:val="21"/>
          <w:highlight w:val="none"/>
          <w:lang w:val="en-US" w:eastAsia="zh-CN"/>
        </w:rPr>
        <w:t xml:space="preserve">将</w:t>
      </w:r>
      <w:r>
        <w:rPr>
          <w:rFonts w:hint="eastAsia" w:ascii="宋体" w:hAnsi="宋体" w:cs="宋体"/>
          <w:color w:val="auto"/>
          <w:szCs w:val="21"/>
          <w:highlight w:val="none"/>
        </w:rPr>
        <w:t xml:space="preserve">启动异常低价投标（响应）审查程序：</w:t>
      </w:r>
      <w:r/>
    </w:p>
    <w:p>
      <w:pPr>
        <w:numPr>
          <w:ilvl w:val="0"/>
          <w:numId w:val="27"/>
        </w:numPr>
        <w:ind w:left="567" w:hanging="567"/>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投标（响应）报价低于采购项目预算50%的，即投标（响应）报价&lt;采购项目预算×50%；</w:t>
      </w:r>
      <w:r/>
    </w:p>
    <w:p>
      <w:pPr>
        <w:numPr>
          <w:ilvl w:val="0"/>
          <w:numId w:val="27"/>
        </w:numPr>
        <w:ind w:left="567" w:hanging="567"/>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投标（响应）报价低于采购项目最高限价45%的，即投标（响应）报价&lt;采购项目最高限价×45%；</w:t>
      </w:r>
      <w:r/>
    </w:p>
    <w:p>
      <w:pPr>
        <w:numPr>
          <w:ilvl w:val="0"/>
          <w:numId w:val="27"/>
        </w:numPr>
        <w:ind w:left="567" w:hanging="567"/>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评审委员会认定的供应商报价过低、有可能影响产品质量或者不能诚信履约的其他情形。</w:t>
      </w:r>
      <w:r/>
    </w:p>
    <w:p>
      <w:pPr>
        <w:numPr>
          <w:ilvl w:val="0"/>
          <w:numId w:val="26"/>
        </w:numPr>
        <w:contextualSpacing/>
        <w:spacing w:line="400" w:lineRule="exact"/>
        <w:tabs>
          <w:tab w:val="left" w:pos="0" w:leader="none"/>
        </w:tabs>
        <w:rPr>
          <w:rFonts w:ascii="宋体" w:hAnsi="宋体"/>
          <w:color w:val="auto"/>
          <w:highlight w:val="none"/>
        </w:rPr>
      </w:pPr>
      <w:r>
        <w:rPr>
          <w:rFonts w:hint="eastAsia" w:ascii="宋体" w:hAnsi="宋体" w:eastAsia="宋体" w:cs="Times New Roman"/>
          <w:color w:val="auto"/>
          <w:szCs w:val="21"/>
          <w:highlight w:val="none"/>
        </w:rPr>
        <w:t xml:space="preserve">启动</w:t>
      </w:r>
      <w:r>
        <w:rPr>
          <w:rFonts w:hint="eastAsia" w:ascii="宋体" w:hAnsi="宋体" w:cs="宋体"/>
          <w:color w:val="auto"/>
          <w:szCs w:val="21"/>
          <w:highlight w:val="none"/>
        </w:rPr>
        <w:t xml:space="preserve">异常低价投标（响应）审查后，评审委员会</w:t>
      </w:r>
      <w:r>
        <w:rPr>
          <w:rFonts w:hint="eastAsia" w:ascii="宋体" w:hAnsi="宋体" w:cs="宋体"/>
          <w:color w:val="auto"/>
          <w:szCs w:val="21"/>
          <w:highlight w:val="none"/>
          <w:lang w:val="en-US" w:eastAsia="zh-CN"/>
        </w:rPr>
        <w:t xml:space="preserve">将</w:t>
      </w:r>
      <w:r>
        <w:rPr>
          <w:rFonts w:hint="eastAsia" w:ascii="宋体" w:hAnsi="宋体" w:cs="宋体"/>
          <w:color w:val="auto"/>
          <w:szCs w:val="21"/>
          <w:highlight w:val="none"/>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w:t>
      </w:r>
      <w:r>
        <w:rPr>
          <w:rFonts w:hint="eastAsia" w:ascii="宋体" w:hAnsi="宋体" w:cs="宋体"/>
          <w:color w:val="auto"/>
          <w:szCs w:val="21"/>
          <w:highlight w:val="none"/>
          <w:lang w:val="en-US" w:eastAsia="zh-CN"/>
        </w:rPr>
        <w:t xml:space="preserve">将</w:t>
      </w:r>
      <w:r>
        <w:rPr>
          <w:rFonts w:hint="eastAsia" w:ascii="宋体" w:hAnsi="宋体" w:cs="宋体"/>
          <w:color w:val="auto"/>
          <w:szCs w:val="21"/>
          <w:highlight w:val="none"/>
        </w:rPr>
        <w:t xml:space="preserve">在评审报告中进行记录。</w:t>
      </w:r>
      <w:r/>
    </w:p>
    <w:p>
      <w:pPr>
        <w:contextualSpacing/>
        <w:ind w:firstLine="420"/>
        <w:spacing w:line="400" w:lineRule="exact"/>
        <w:tabs>
          <w:tab w:val="left" w:pos="0" w:leader="none"/>
          <w:tab w:val="left" w:pos="2870" w:leader="none"/>
        </w:tabs>
        <w:rPr>
          <w:rFonts w:ascii="宋体" w:hAnsi="宋体"/>
          <w:bCs/>
          <w:color w:val="auto"/>
          <w:highlight w:val="none"/>
        </w:rPr>
      </w:pPr>
      <w:r>
        <w:rPr>
          <w:rFonts w:hint="eastAsia" w:ascii="宋体" w:hAnsi="宋体"/>
          <w:bCs/>
          <w:color w:val="auto"/>
          <w:highlight w:val="none"/>
        </w:rPr>
        <w:t xml:space="preserve">（二）评审内容：</w:t>
      </w:r>
      <w:r/>
    </w:p>
    <w:tbl>
      <w:tblPr>
        <w:tblStyle w:val="936"/>
        <w:tblW w:w="966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6065"/>
        <w:gridCol w:w="1984"/>
        <w:gridCol w:w="872"/>
      </w:tblGrid>
      <w:tr>
        <w:trPr>
          <w:jc w:val="center"/>
          <w:trHeight w:val="567"/>
        </w:trPr>
        <w:tc>
          <w:tcPr>
            <w:tcW w:w="74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606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评审内容</w:t>
            </w:r>
            <w:r/>
          </w:p>
        </w:tc>
        <w:tc>
          <w:tcPr>
            <w:tcW w:w="1984"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评审是否合格（填“是”或“否”）</w:t>
            </w:r>
            <w:r/>
          </w:p>
        </w:tc>
        <w:tc>
          <w:tcPr>
            <w:tcW w:w="872"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不合格原因</w:t>
            </w:r>
            <w:r/>
          </w:p>
        </w:tc>
      </w:tr>
      <w:tr>
        <w:trPr>
          <w:jc w:val="center"/>
          <w:trHeight w:val="567"/>
        </w:trPr>
        <w:tc>
          <w:tcPr>
            <w:tcW w:w="744"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w:t>
            </w:r>
            <w:r/>
          </w:p>
        </w:tc>
        <w:tc>
          <w:tcPr>
            <w:tcW w:w="606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highlight w:val="none"/>
              </w:rPr>
              <w:t xml:space="preserve">资格审查响应文件</w:t>
            </w:r>
            <w:r>
              <w:rPr>
                <w:rFonts w:hint="eastAsia" w:ascii="宋体" w:hAnsi="宋体"/>
                <w:color w:val="auto"/>
                <w:szCs w:val="21"/>
                <w:highlight w:val="none"/>
              </w:rPr>
              <w:t xml:space="preserve">是否符合要求</w:t>
            </w:r>
            <w:r/>
          </w:p>
        </w:tc>
        <w:tc>
          <w:tcPr>
            <w:tcW w:w="198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87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trPr>
        <w:tc>
          <w:tcPr>
            <w:tcW w:w="744" w:type="dxa"/>
            <w:vAlign w:val="center"/>
            <w:textDirection w:val="lrTb"/>
            <w:noWrap w:val="false"/>
          </w:tcPr>
          <w:p>
            <w:pPr>
              <w:jc w:val="center"/>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2</w:t>
            </w:r>
            <w:r/>
          </w:p>
        </w:tc>
        <w:tc>
          <w:tcPr>
            <w:tcW w:w="6065" w:type="dxa"/>
            <w:vAlign w:val="center"/>
            <w:textDirection w:val="lrTb"/>
            <w:noWrap w:val="false"/>
          </w:tcPr>
          <w:p>
            <w:pPr>
              <w:spacing w:line="400" w:lineRule="exact"/>
              <w:rPr>
                <w:rFonts w:ascii="宋体" w:hAnsi="宋体"/>
                <w:color w:val="auto"/>
                <w:highlight w:val="none"/>
              </w:rPr>
            </w:pPr>
            <w:r>
              <w:rPr>
                <w:rFonts w:hint="eastAsia" w:ascii="宋体" w:hAnsi="宋体"/>
                <w:color w:val="auto"/>
                <w:highlight w:val="none"/>
              </w:rPr>
              <w:t xml:space="preserve">响应货物的数量、品牌、规格、技术参数、指标说明、质量要求、偏离说明等</w:t>
            </w:r>
            <w:r/>
          </w:p>
        </w:tc>
        <w:tc>
          <w:tcPr>
            <w:tcW w:w="198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87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trPr>
        <w:tc>
          <w:tcPr>
            <w:tcW w:w="744" w:type="dxa"/>
            <w:vAlign w:val="center"/>
            <w:textDirection w:val="lrTb"/>
            <w:noWrap w:val="false"/>
          </w:tcPr>
          <w:p>
            <w:pPr>
              <w:jc w:val="center"/>
              <w:spacing w:line="400" w:lineRule="exact"/>
              <w:tabs>
                <w:tab w:val="left" w:pos="0" w:leader="none"/>
              </w:tabs>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3</w:t>
            </w:r>
            <w:r/>
          </w:p>
        </w:tc>
        <w:tc>
          <w:tcPr>
            <w:tcW w:w="6065" w:type="dxa"/>
            <w:vAlign w:val="center"/>
            <w:textDirection w:val="lrTb"/>
            <w:noWrap w:val="false"/>
          </w:tcPr>
          <w:p>
            <w:pPr>
              <w:spacing w:line="400" w:lineRule="exact"/>
              <w:tabs>
                <w:tab w:val="left" w:pos="567" w:leader="none"/>
              </w:tabs>
              <w:rPr>
                <w:rFonts w:ascii="宋体" w:hAnsi="宋体"/>
                <w:color w:val="auto"/>
                <w:highlight w:val="none"/>
              </w:rPr>
            </w:pPr>
            <w:r>
              <w:rPr>
                <w:rFonts w:hint="eastAsia" w:ascii="宋体" w:hAnsi="宋体"/>
                <w:color w:val="auto"/>
                <w:highlight w:val="none"/>
              </w:rPr>
              <w:t xml:space="preserve">履约交付、质保、售后、服务响应等的书面服务承诺</w:t>
            </w:r>
            <w:r/>
          </w:p>
        </w:tc>
        <w:tc>
          <w:tcPr>
            <w:tcW w:w="198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87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trPr>
        <w:tc>
          <w:tcPr>
            <w:tcW w:w="744" w:type="dxa"/>
            <w:vAlign w:val="center"/>
            <w:textDirection w:val="lrTb"/>
            <w:noWrap w:val="false"/>
          </w:tcPr>
          <w:p>
            <w:pPr>
              <w:jc w:val="center"/>
              <w:spacing w:line="400" w:lineRule="exact"/>
              <w:tabs>
                <w:tab w:val="left" w:pos="0" w:leader="none"/>
              </w:tabs>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4</w:t>
            </w:r>
            <w:r/>
          </w:p>
        </w:tc>
        <w:tc>
          <w:tcPr>
            <w:tcW w:w="6065" w:type="dxa"/>
            <w:vAlign w:val="center"/>
            <w:textDirection w:val="lrTb"/>
            <w:noWrap w:val="false"/>
          </w:tcPr>
          <w:p>
            <w:pPr>
              <w:spacing w:line="400" w:lineRule="exact"/>
              <w:tabs>
                <w:tab w:val="left" w:pos="567" w:leader="none"/>
              </w:tabs>
              <w:rPr>
                <w:rFonts w:ascii="宋体" w:hAnsi="宋体"/>
                <w:color w:val="auto"/>
                <w:highlight w:val="none"/>
              </w:rPr>
            </w:pPr>
            <w:r>
              <w:rPr>
                <w:rFonts w:hint="eastAsia" w:ascii="宋体" w:hAnsi="宋体"/>
                <w:color w:val="auto"/>
                <w:szCs w:val="21"/>
                <w:highlight w:val="none"/>
              </w:rPr>
              <w:t xml:space="preserve">其他材料（除供应商资格条件及采购技术内容以外的其他涉及实质性响应谈判文件的条款内容）</w:t>
            </w:r>
            <w:r/>
          </w:p>
        </w:tc>
        <w:tc>
          <w:tcPr>
            <w:tcW w:w="198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87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pStyle w:val="942"/>
        <w:jc w:val="center"/>
        <w:spacing w:line="360" w:lineRule="auto"/>
        <w:rPr>
          <w:rFonts w:ascii="宋体" w:hAnsi="宋体"/>
          <w:b/>
          <w:bCs/>
          <w:color w:val="auto"/>
          <w:sz w:val="32"/>
          <w:highlight w:val="none"/>
        </w:rPr>
        <w:outlineLvl w:val="0"/>
      </w:pPr>
      <w:r>
        <w:rPr>
          <w:rFonts w:ascii="宋体" w:hAnsi="宋体"/>
          <w:b/>
          <w:bCs/>
          <w:color w:val="auto"/>
          <w:sz w:val="21"/>
          <w:szCs w:val="21"/>
          <w:highlight w:val="none"/>
        </w:rPr>
        <w:br w:type="page" w:clear="all"/>
      </w:r>
      <w:r>
        <w:rPr>
          <w:rFonts w:hint="eastAsia" w:ascii="宋体" w:hAnsi="宋体"/>
          <w:b/>
          <w:bCs/>
          <w:color w:val="auto"/>
          <w:sz w:val="32"/>
          <w:highlight w:val="none"/>
        </w:rPr>
        <w:t xml:space="preserve">三、合同主要条款</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甲方： </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地址：</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联系人：</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联系电话：</w:t>
      </w:r>
      <w:r/>
    </w:p>
    <w:p>
      <w:pPr>
        <w:ind w:firstLine="420"/>
        <w:spacing w:line="360" w:lineRule="auto"/>
        <w:rPr>
          <w:rFonts w:ascii="宋体" w:hAnsi="宋体" w:cs="仿宋_GB2312"/>
          <w:color w:val="auto"/>
          <w:szCs w:val="21"/>
          <w:highlight w:val="none"/>
        </w:rPr>
      </w:pPr>
      <w:r>
        <w:rPr>
          <w:rFonts w:ascii="宋体" w:hAnsi="宋体" w:cs="仿宋_GB2312"/>
          <w:color w:val="auto"/>
          <w:szCs w:val="21"/>
          <w:highlight w:val="none"/>
        </w:rPr>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乙方：</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地址：</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联系人：</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联系电话：</w:t>
      </w:r>
      <w:r/>
    </w:p>
    <w:p>
      <w:pPr>
        <w:ind w:firstLine="420"/>
        <w:spacing w:line="400" w:lineRule="exact"/>
        <w:rPr>
          <w:rFonts w:ascii="宋体" w:hAnsi="宋体" w:cs="宋体"/>
          <w:color w:val="auto"/>
          <w:highlight w:val="none"/>
        </w:rPr>
      </w:pPr>
      <w:r>
        <w:rPr>
          <w:rFonts w:ascii="宋体" w:hAnsi="宋体" w:cs="宋体"/>
          <w:color w:val="auto"/>
          <w:highlight w:val="none"/>
        </w:rPr>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依据甲方委托</w:t>
      </w:r>
      <w:r>
        <w:rPr>
          <w:rFonts w:hint="eastAsia" w:ascii="宋体" w:hAnsi="宋体" w:cs="宋体"/>
          <w:color w:val="auto"/>
          <w:highlight w:val="none"/>
          <w:u w:val="single"/>
        </w:rPr>
        <w:t xml:space="preserve">苏州市原鑫招投标咨询服务有限公司</w:t>
      </w:r>
      <w:r>
        <w:rPr>
          <w:rFonts w:hint="eastAsia" w:ascii="宋体" w:hAnsi="宋体" w:cs="宋体"/>
          <w:color w:val="auto"/>
          <w:highlight w:val="none"/>
        </w:rPr>
        <w:t xml:space="preserve">进行</w:t>
      </w:r>
      <w:r>
        <w:rPr>
          <w:rFonts w:hint="eastAsia" w:ascii="宋体" w:hAnsi="宋体" w:cs="宋体"/>
          <w:color w:val="auto"/>
          <w:highlight w:val="none"/>
          <w:u w:val="single"/>
          <w:lang w:eastAsia="zh-CN"/>
        </w:rPr>
        <w:t xml:space="preserve">应急溯源监测设备采购</w:t>
      </w:r>
      <w:r>
        <w:rPr>
          <w:rFonts w:hint="eastAsia" w:ascii="宋体" w:hAnsi="宋体" w:cs="宋体"/>
          <w:color w:val="auto"/>
          <w:highlight w:val="none"/>
        </w:rPr>
        <w:t xml:space="preserve">政府采购（项目编号： </w:t>
      </w:r>
      <w:r>
        <w:rPr>
          <w:rFonts w:hint="eastAsia" w:ascii="宋体" w:hAnsi="宋体" w:cs="宋体"/>
          <w:color w:val="auto"/>
          <w:highlight w:val="none"/>
          <w:u w:val="single"/>
          <w:lang w:eastAsia="zh-CN"/>
        </w:rPr>
        <w:t xml:space="preserve">JSZC-320506-SZYX-T2025-0079</w:t>
      </w:r>
      <w:r>
        <w:rPr>
          <w:rFonts w:hint="eastAsia" w:ascii="宋体" w:hAnsi="宋体" w:cs="宋体"/>
          <w:color w:val="auto"/>
          <w:highlight w:val="none"/>
        </w:rPr>
        <w:t xml:space="preserve">）的采购结果，确定乙方为本次成交供应商，现依照谈判文件、乙方的响应文件及相关文件的内容，签订本合同书。</w:t>
      </w:r>
      <w:r/>
    </w:p>
    <w:p>
      <w:pPr>
        <w:numPr>
          <w:ilvl w:val="0"/>
          <w:numId w:val="28"/>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合同标的物和合同价格</w:t>
      </w:r>
      <w:r/>
    </w:p>
    <w:tbl>
      <w:tblPr>
        <w:tblStyle w:val="936"/>
        <w:tblW w:w="967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7"/>
        <w:gridCol w:w="1071"/>
        <w:gridCol w:w="2160"/>
        <w:gridCol w:w="1020"/>
        <w:gridCol w:w="974"/>
        <w:gridCol w:w="1134"/>
        <w:gridCol w:w="1134"/>
        <w:gridCol w:w="1134"/>
      </w:tblGrid>
      <w:tr>
        <w:trPr>
          <w:jc w:val="center"/>
          <w:trHeight w:val="652"/>
        </w:trPr>
        <w:tc>
          <w:tcPr>
            <w:tcW w:w="1047"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序号</w:t>
            </w:r>
            <w:r/>
          </w:p>
        </w:tc>
        <w:tc>
          <w:tcPr>
            <w:tcW w:w="1071"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名称</w:t>
            </w:r>
            <w:r/>
          </w:p>
        </w:tc>
        <w:tc>
          <w:tcPr>
            <w:tcW w:w="216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品牌、型号、规格</w:t>
            </w:r>
            <w:r/>
          </w:p>
        </w:tc>
        <w:tc>
          <w:tcPr>
            <w:tcW w:w="102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数量</w:t>
            </w:r>
            <w:r/>
          </w:p>
        </w:tc>
        <w:tc>
          <w:tcPr>
            <w:tcW w:w="97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单位</w:t>
            </w:r>
            <w:r/>
          </w:p>
        </w:tc>
        <w:tc>
          <w:tcPr>
            <w:tcW w:w="113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单价(元)</w:t>
            </w:r>
            <w:r/>
          </w:p>
        </w:tc>
        <w:tc>
          <w:tcPr>
            <w:tcW w:w="1134" w:type="dxa"/>
            <w:vAlign w:val="center"/>
            <w:textDirection w:val="lrTb"/>
            <w:noWrap w:val="false"/>
          </w:tcPr>
          <w:p>
            <w:pPr>
              <w:jc w:val="center"/>
              <w:spacing w:line="360" w:lineRule="auto"/>
              <w:widowControl/>
              <w:rPr>
                <w:rFonts w:ascii="宋体" w:hAnsi="宋体" w:cs="宋体"/>
                <w:color w:val="auto"/>
                <w:highlight w:val="none"/>
              </w:rPr>
            </w:pPr>
            <w:r>
              <w:rPr>
                <w:rFonts w:hint="eastAsia" w:ascii="宋体" w:hAnsi="宋体" w:cs="宋体"/>
                <w:color w:val="auto"/>
                <w:highlight w:val="none"/>
              </w:rPr>
              <w:t xml:space="preserve">总价(元)</w:t>
            </w:r>
            <w:r/>
          </w:p>
        </w:tc>
        <w:tc>
          <w:tcPr>
            <w:tcW w:w="1134" w:type="dxa"/>
            <w:vAlign w:val="center"/>
            <w:textDirection w:val="lrTb"/>
            <w:noWrap w:val="false"/>
          </w:tcPr>
          <w:p>
            <w:pPr>
              <w:jc w:val="center"/>
              <w:spacing w:line="360" w:lineRule="auto"/>
              <w:widowControl/>
              <w:rPr>
                <w:rFonts w:ascii="宋体" w:hAnsi="宋体" w:cs="宋体"/>
                <w:color w:val="auto"/>
                <w:highlight w:val="none"/>
              </w:rPr>
            </w:pPr>
            <w:r>
              <w:rPr>
                <w:rFonts w:hint="eastAsia" w:ascii="宋体" w:hAnsi="宋体" w:cs="宋体"/>
                <w:color w:val="auto"/>
                <w:highlight w:val="none"/>
              </w:rPr>
              <w:t xml:space="preserve">备注</w:t>
            </w:r>
            <w:r/>
          </w:p>
        </w:tc>
      </w:tr>
      <w:tr>
        <w:trPr>
          <w:jc w:val="center"/>
          <w:trHeight w:val="494"/>
        </w:trPr>
        <w:tc>
          <w:tcPr>
            <w:tcW w:w="1047"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w:t>
            </w:r>
            <w:r/>
          </w:p>
        </w:tc>
        <w:tc>
          <w:tcPr>
            <w:tcW w:w="107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216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7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jc w:val="cente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jc w:val="center"/>
              <w:spacing w:line="360" w:lineRule="auto"/>
              <w:widowControl/>
              <w:rPr>
                <w:rFonts w:ascii="宋体" w:hAnsi="宋体" w:cs="宋体"/>
                <w:color w:val="auto"/>
                <w:highlight w:val="none"/>
              </w:rPr>
            </w:pPr>
            <w:r>
              <w:rPr>
                <w:rFonts w:ascii="宋体" w:hAnsi="宋体" w:cs="宋体"/>
                <w:color w:val="auto"/>
                <w:highlight w:val="none"/>
              </w:rPr>
            </w:r>
            <w:r/>
          </w:p>
        </w:tc>
      </w:tr>
      <w:tr>
        <w:trPr>
          <w:jc w:val="center"/>
          <w:trHeight w:val="494"/>
        </w:trPr>
        <w:tc>
          <w:tcPr>
            <w:tcW w:w="1047"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w:t>
            </w:r>
            <w:r/>
          </w:p>
        </w:tc>
        <w:tc>
          <w:tcPr>
            <w:tcW w:w="107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216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7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jc w:val="cente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jc w:val="center"/>
              <w:spacing w:line="360" w:lineRule="auto"/>
              <w:widowControl/>
              <w:rPr>
                <w:rFonts w:ascii="宋体" w:hAnsi="宋体" w:cs="宋体"/>
                <w:color w:val="auto"/>
                <w:highlight w:val="none"/>
              </w:rPr>
            </w:pPr>
            <w:r>
              <w:rPr>
                <w:rFonts w:ascii="宋体" w:hAnsi="宋体" w:cs="宋体"/>
                <w:color w:val="auto"/>
                <w:highlight w:val="none"/>
              </w:rPr>
            </w:r>
            <w:r/>
          </w:p>
        </w:tc>
      </w:tr>
      <w:tr>
        <w:trPr>
          <w:jc w:val="center"/>
          <w:trHeight w:val="494"/>
        </w:trPr>
        <w:tc>
          <w:tcPr>
            <w:gridSpan w:val="8"/>
            <w:tcW w:w="9674" w:type="dxa"/>
            <w:vAlign w:val="center"/>
            <w:textDirection w:val="lrTb"/>
            <w:noWrap w:val="false"/>
          </w:tcPr>
          <w:p>
            <w:pPr>
              <w:spacing w:line="360" w:lineRule="auto"/>
              <w:widowControl/>
              <w:rPr>
                <w:rFonts w:ascii="宋体" w:hAnsi="宋体" w:cs="宋体"/>
                <w:color w:val="auto"/>
                <w:highlight w:val="none"/>
              </w:rPr>
            </w:pPr>
            <w:r>
              <w:rPr>
                <w:rFonts w:hint="eastAsia" w:ascii="宋体" w:hAnsi="宋体" w:cs="宋体"/>
                <w:color w:val="auto"/>
                <w:highlight w:val="none"/>
              </w:rPr>
              <w:t xml:space="preserve">合同价格（大写）人民币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圆整；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.00）</w:t>
            </w:r>
            <w:r/>
          </w:p>
        </w:tc>
      </w:tr>
    </w:tbl>
    <w:p>
      <w:pPr>
        <w:numPr>
          <w:ilvl w:val="1"/>
          <w:numId w:val="28"/>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本合同价格包括所有货物及备品、备件、辅配件和专用工具费用、安装、调试、技术支持与培训、检测验收、配套服务、包装、运输、售后与维保、保险及相关劳务支出等工作所发生的全部费用以及乙方企业利润、税金和政策性文件规定及合同包含的所有风险、责任等各项应有费用。乙方应保证如项目实施过程中有辅助材料缺漏，负责无条件补齐，费用包含在本次合同价格中，甲方不再另行支付。</w:t>
      </w:r>
      <w:r/>
    </w:p>
    <w:p>
      <w:pPr>
        <w:numPr>
          <w:ilvl w:val="1"/>
          <w:numId w:val="28"/>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根据现行税法对甲方征收的与本合同有关的一切税费均由甲方承担；根据现行税法对乙方征收的与本合同有关的一切税费均由乙方承担。</w:t>
      </w:r>
      <w:r/>
    </w:p>
    <w:p>
      <w:pPr>
        <w:numPr>
          <w:ilvl w:val="0"/>
          <w:numId w:val="28"/>
        </w:numPr>
        <w:ind w:left="540" w:hanging="540"/>
        <w:spacing w:line="400" w:lineRule="atLeas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标的物交付</w:t>
      </w:r>
      <w:r/>
    </w:p>
    <w:p>
      <w:pPr>
        <w:numPr>
          <w:ilvl w:val="1"/>
          <w:numId w:val="28"/>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履约交付期限：详见</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w:t>
      </w:r>
      <w:r/>
    </w:p>
    <w:p>
      <w:pPr>
        <w:numPr>
          <w:ilvl w:val="1"/>
          <w:numId w:val="28"/>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交付地点：甲方指定地点。</w:t>
      </w:r>
      <w:r/>
    </w:p>
    <w:p>
      <w:pPr>
        <w:numPr>
          <w:ilvl w:val="1"/>
          <w:numId w:val="28"/>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标的物的所有权自标的物交付时转移。</w:t>
      </w:r>
      <w:r/>
    </w:p>
    <w:p>
      <w:pPr>
        <w:numPr>
          <w:ilvl w:val="1"/>
          <w:numId w:val="28"/>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numPr>
          <w:ilvl w:val="0"/>
          <w:numId w:val="28"/>
        </w:numPr>
        <w:ind w:left="540" w:hanging="540"/>
        <w:spacing w:line="400" w:lineRule="atLeas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技术规范</w:t>
      </w:r>
      <w:r/>
    </w:p>
    <w:p>
      <w:pPr>
        <w:numPr>
          <w:ilvl w:val="1"/>
          <w:numId w:val="28"/>
        </w:numPr>
        <w:ind w:left="540" w:hanging="540"/>
        <w:spacing w:line="400" w:lineRule="atLeast"/>
        <w:tabs>
          <w:tab w:val="left" w:pos="540" w:leader="none"/>
          <w:tab w:val="clear" w:pos="567" w:leader="none"/>
        </w:tabs>
        <w:rPr>
          <w:rFonts w:ascii="宋体" w:hAnsi="宋体" w:cs="宋体"/>
          <w:iCs/>
          <w:color w:val="auto"/>
          <w:highlight w:val="none"/>
          <w:u w:val="single"/>
        </w:rPr>
      </w:pPr>
      <w:r>
        <w:rPr>
          <w:rFonts w:hint="eastAsia" w:ascii="宋体" w:hAnsi="宋体" w:cs="宋体"/>
          <w:color w:val="auto"/>
          <w:highlight w:val="none"/>
        </w:rPr>
        <w:t xml:space="preserve">所提供货物的生产、制造等各项技术标准，应当符合国家（强制性）标准、各项规范要求；国家没有相应标准、规范的，可使用行业标准、规定；非标产品按招标约定的技术要求和规范。</w:t>
      </w:r>
      <w:r/>
    </w:p>
    <w:p>
      <w:pPr>
        <w:numPr>
          <w:ilvl w:val="0"/>
          <w:numId w:val="28"/>
        </w:numPr>
        <w:ind w:left="540" w:hanging="540"/>
        <w:spacing w:line="400" w:lineRule="atLeas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质量要求</w:t>
      </w:r>
      <w:r/>
    </w:p>
    <w:p>
      <w:pPr>
        <w:numPr>
          <w:ilvl w:val="1"/>
          <w:numId w:val="28"/>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所提供货物是全新的、未使用过的、原包装未拆封的商品，完全符合采购产品规定的质量、规格和性能的要求，除有特殊要求外，其余均为标准配置要求，否则甲方有权拒绝验收。</w:t>
      </w:r>
      <w:r/>
    </w:p>
    <w:p>
      <w:pPr>
        <w:numPr>
          <w:ilvl w:val="1"/>
          <w:numId w:val="28"/>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乙方保证所提供货物涉及到的知识产权是合法取得，并享有完整的知识产权，不会因为甲方的使用而被责令停止使用、追偿或要求赔偿损失，如出现此情况，一切经济和法律责任均由乙方承担。</w:t>
      </w:r>
      <w:r/>
    </w:p>
    <w:p>
      <w:pPr>
        <w:numPr>
          <w:ilvl w:val="0"/>
          <w:numId w:val="28"/>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验收</w:t>
      </w:r>
      <w:r>
        <w:rPr>
          <w:rFonts w:hint="eastAsia" w:cs="宋体"/>
          <w:b/>
          <w:color w:val="auto"/>
          <w:highlight w:val="none"/>
        </w:rPr>
        <w:t xml:space="preserve">要求</w:t>
      </w:r>
      <w:r/>
    </w:p>
    <w:p>
      <w:pPr>
        <w:numPr>
          <w:ilvl w:val="1"/>
          <w:numId w:val="28"/>
        </w:numPr>
        <w:ind w:left="540" w:hanging="540"/>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本项目将根据政府采购</w:t>
      </w:r>
      <w:r>
        <w:rPr>
          <w:rFonts w:hint="eastAsia" w:ascii="宋体" w:hAnsi="宋体" w:cs="宋体"/>
          <w:color w:val="auto"/>
          <w:highlight w:val="none"/>
          <w:lang w:val="en-US" w:eastAsia="zh-CN"/>
        </w:rPr>
        <w:t xml:space="preserve">法律法规</w:t>
      </w:r>
      <w:r>
        <w:rPr>
          <w:rFonts w:hint="eastAsia" w:ascii="宋体" w:hAnsi="宋体" w:cs="宋体"/>
          <w:color w:val="auto"/>
          <w:highlight w:val="none"/>
        </w:rPr>
        <w:t xml:space="preserve">及相关文件的规定，对供应商进行履约验收，确认验收合格的，将出具履约验收</w:t>
      </w:r>
      <w:r>
        <w:rPr>
          <w:rFonts w:hint="eastAsia" w:ascii="宋体" w:hAnsi="宋体" w:cs="宋体"/>
          <w:color w:val="auto"/>
          <w:highlight w:val="none"/>
          <w:lang w:val="en-US" w:eastAsia="zh-CN"/>
        </w:rPr>
        <w:t xml:space="preserve">报告</w:t>
      </w:r>
      <w:r>
        <w:rPr>
          <w:rFonts w:hint="eastAsia" w:ascii="宋体" w:hAnsi="宋体" w:cs="宋体"/>
          <w:color w:val="auto"/>
          <w:highlight w:val="none"/>
        </w:rPr>
        <w:t xml:space="preserve">。</w:t>
      </w:r>
      <w:r/>
    </w:p>
    <w:p>
      <w:pPr>
        <w:numPr>
          <w:ilvl w:val="1"/>
          <w:numId w:val="28"/>
        </w:numPr>
        <w:ind w:left="540" w:hanging="540"/>
        <w:spacing w:line="400" w:lineRule="exact"/>
        <w:tabs>
          <w:tab w:val="left" w:pos="540" w:leader="none"/>
        </w:tabs>
        <w:rPr>
          <w:rFonts w:ascii="宋体" w:hAnsi="宋体" w:cs="宋体"/>
          <w:color w:val="auto"/>
          <w:highlight w:val="none"/>
        </w:rPr>
      </w:pPr>
      <w:r>
        <w:rPr>
          <w:rFonts w:hint="eastAsia" w:ascii="宋体" w:hAnsi="宋体" w:cs="宋体"/>
          <w:color w:val="auto"/>
          <w:szCs w:val="21"/>
          <w:highlight w:val="none"/>
        </w:rPr>
        <w:t xml:space="preserve">履约</w:t>
      </w:r>
      <w:r>
        <w:rPr>
          <w:rFonts w:hint="eastAsia" w:ascii="宋体" w:hAnsi="宋体" w:cs="宋体"/>
          <w:color w:val="auto"/>
          <w:highlight w:val="none"/>
        </w:rPr>
        <w:t xml:space="preserve">验收标准：乙方提供的货物必须符合我国最新颁布的与之相关的技术规范与标准，同时必须满足采购文件中所列技术参数、指标要求和乙方承诺的其它内容。</w:t>
      </w:r>
      <w:r>
        <w:rPr>
          <w:rFonts w:hint="eastAsia" w:cs="宋体"/>
          <w:color w:val="auto"/>
          <w:highlight w:val="none"/>
        </w:rPr>
        <w:t xml:space="preserve">在验收过程中甲方如发现提供的产品存在质量问题，则乙方必须重新提交直至验收合格，对甲方造成的一切损失由乙方承担。</w:t>
      </w:r>
      <w:r/>
    </w:p>
    <w:p>
      <w:pPr>
        <w:numPr>
          <w:ilvl w:val="1"/>
          <w:numId w:val="28"/>
        </w:numPr>
        <w:ind w:left="540" w:hanging="540"/>
        <w:spacing w:line="400" w:lineRule="exact"/>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履约验收主体：由甲方进行验收。</w:t>
      </w:r>
      <w:r/>
    </w:p>
    <w:p>
      <w:pPr>
        <w:numPr>
          <w:ilvl w:val="1"/>
          <w:numId w:val="28"/>
        </w:numPr>
        <w:ind w:left="540" w:hanging="540"/>
        <w:spacing w:line="400" w:lineRule="exact"/>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履约验收方式：乙方应当按照政府采购合同的约定，配合甲方做好项目验收，提供与验收相关的资料，根据实际需要做好技术说明等工作，并对所提供资料和材料的真实性负责。验收结束后，出具验收书，列明各分项标准的验收情况及项目总体评价，由验收双方共同签署。</w:t>
      </w:r>
      <w:r/>
    </w:p>
    <w:p>
      <w:pPr>
        <w:numPr>
          <w:ilvl w:val="1"/>
          <w:numId w:val="28"/>
        </w:numPr>
        <w:ind w:left="540" w:hanging="540"/>
        <w:spacing w:line="400" w:lineRule="exact"/>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履约验收程序：</w:t>
      </w:r>
      <w:r/>
    </w:p>
    <w:p>
      <w:pPr>
        <w:numPr>
          <w:ilvl w:val="0"/>
          <w:numId w:val="29"/>
        </w:numPr>
        <w:spacing w:line="400" w:lineRule="exact"/>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履约验收时间：本项目在所采购货物全部交付并安装调试完毕后进行验收。甲方对乙方提供的所有产品进行验收。</w:t>
      </w:r>
      <w:r/>
    </w:p>
    <w:p>
      <w:pPr>
        <w:numPr>
          <w:ilvl w:val="0"/>
          <w:numId w:val="29"/>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甲方成立验收小组，负责采购项目履约验收具体工作。</w:t>
      </w:r>
      <w:r/>
    </w:p>
    <w:p>
      <w:pPr>
        <w:numPr>
          <w:ilvl w:val="0"/>
          <w:numId w:val="29"/>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验收小组应当按照验收工作实施方案开展验收，对乙方提供的货物、服务按照采购文件、响应文件、政府采购合同等进行逐一核对、验收，并做好验收记录。 </w:t>
      </w:r>
      <w:r/>
    </w:p>
    <w:p>
      <w:pPr>
        <w:numPr>
          <w:ilvl w:val="0"/>
          <w:numId w:val="29"/>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numPr>
          <w:ilvl w:val="0"/>
          <w:numId w:val="29"/>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pStyle w:val="942"/>
        <w:numPr>
          <w:ilvl w:val="0"/>
          <w:numId w:val="29"/>
        </w:numPr>
        <w:spacing w:line="400" w:lineRule="exact"/>
        <w:tabs>
          <w:tab w:val="clear" w:pos="525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履约验收过程中的政府采购合同履行、违约责任和争议解决等事项，按照《中华人民共和国民法典》等法律法规和政府采购合同约定执行。</w:t>
      </w:r>
      <w:r/>
    </w:p>
    <w:p>
      <w:pPr>
        <w:numPr>
          <w:ilvl w:val="0"/>
          <w:numId w:val="28"/>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合同价格支付</w:t>
      </w:r>
      <w:r/>
    </w:p>
    <w:p>
      <w:pPr>
        <w:numPr>
          <w:ilvl w:val="1"/>
          <w:numId w:val="28"/>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支付步骤：合同签订后，全部货物到场，安装调试完毕，验收合格后甲方支付合同金额的95%，余款于验收通过后一年内无重大质量问题一次性付清。</w:t>
      </w:r>
      <w:r/>
    </w:p>
    <w:p>
      <w:pPr>
        <w:numPr>
          <w:ilvl w:val="1"/>
          <w:numId w:val="28"/>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支付方式：</w:t>
      </w:r>
      <w:r>
        <w:rPr>
          <w:rFonts w:hint="eastAsia" w:cs="宋体"/>
          <w:color w:val="auto"/>
          <w:highlight w:val="none"/>
        </w:rPr>
        <w:t xml:space="preserve">银行</w:t>
      </w:r>
      <w:r>
        <w:rPr>
          <w:rFonts w:hint="eastAsia" w:ascii="宋体" w:hAnsi="宋体" w:cs="宋体"/>
          <w:color w:val="auto"/>
          <w:highlight w:val="none"/>
        </w:rPr>
        <w:t xml:space="preserve">转账</w:t>
      </w:r>
      <w:r>
        <w:rPr>
          <w:rFonts w:hint="eastAsia" w:cs="宋体"/>
          <w:color w:val="auto"/>
          <w:highlight w:val="none"/>
        </w:rPr>
        <w:t xml:space="preserve">或数字人民币支付</w:t>
      </w:r>
      <w:r>
        <w:rPr>
          <w:rFonts w:hint="eastAsia" w:ascii="宋体" w:hAnsi="宋体" w:cs="宋体"/>
          <w:color w:val="auto"/>
          <w:highlight w:val="none"/>
        </w:rPr>
        <w:t xml:space="preserve">。</w:t>
      </w:r>
      <w:r/>
    </w:p>
    <w:p>
      <w:pPr>
        <w:numPr>
          <w:ilvl w:val="1"/>
          <w:numId w:val="28"/>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乙方需提供的单据：</w:t>
      </w:r>
      <w:r/>
    </w:p>
    <w:p>
      <w:pPr>
        <w:ind w:left="540"/>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A、合格的发票；</w:t>
      </w:r>
      <w:r/>
    </w:p>
    <w:p>
      <w:pPr>
        <w:ind w:left="540"/>
        <w:spacing w:line="400" w:lineRule="exact"/>
        <w:tabs>
          <w:tab w:val="left" w:pos="540" w:leader="none"/>
        </w:tabs>
        <w:rPr>
          <w:rFonts w:ascii="宋体" w:hAnsi="宋体" w:cs="宋体"/>
          <w:color w:val="auto"/>
          <w:highlight w:val="none"/>
        </w:rPr>
      </w:pPr>
      <w:r>
        <w:rPr>
          <w:rFonts w:hint="eastAsia" w:ascii="宋体" w:hAnsi="宋体" w:cs="宋体"/>
          <w:color w:val="auto"/>
          <w:highlight w:val="none"/>
          <w:lang w:val="en-US" w:eastAsia="zh-CN"/>
        </w:rPr>
        <w:t xml:space="preserve">B</w:t>
      </w:r>
      <w:r>
        <w:rPr>
          <w:rFonts w:hint="eastAsia" w:ascii="宋体" w:hAnsi="宋体" w:cs="宋体"/>
          <w:color w:val="auto"/>
          <w:highlight w:val="none"/>
        </w:rPr>
        <w:t xml:space="preserve">、其他（若有）。</w:t>
      </w:r>
      <w:r/>
    </w:p>
    <w:p>
      <w:pPr>
        <w:numPr>
          <w:ilvl w:val="1"/>
          <w:numId w:val="28"/>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乙方账户信息：</w:t>
      </w:r>
      <w:r/>
    </w:p>
    <w:p>
      <w:pPr>
        <w:ind w:left="540"/>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户名：</w:t>
      </w:r>
      <w:r/>
    </w:p>
    <w:p>
      <w:pPr>
        <w:ind w:left="540"/>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开户行：</w:t>
      </w:r>
      <w:r/>
    </w:p>
    <w:p>
      <w:pPr>
        <w:ind w:left="540"/>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账号：</w:t>
      </w:r>
      <w:r/>
    </w:p>
    <w:p>
      <w:pPr>
        <w:numPr>
          <w:ilvl w:val="0"/>
          <w:numId w:val="28"/>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对标的物货物提出异议的时间和办法</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甲方在验收过程中，应当于双方约定的检验期间内将标的物的数量或质量不符合约定的情况及处理方式以书面方式通知乙方。</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如果甲方在验收期满后既没有出具验收合格证明又未提出书面异议的视为乙方所交标的物符合合同规定。</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乙方应在收到甲方书面异议后七天内负责解决问题，否则将视为默认甲方提出的异议和处理意见。</w:t>
      </w:r>
      <w:r/>
    </w:p>
    <w:p>
      <w:pPr>
        <w:numPr>
          <w:ilvl w:val="0"/>
          <w:numId w:val="28"/>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售后服务</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除</w:t>
      </w:r>
      <w:r>
        <w:rPr>
          <w:rFonts w:hint="eastAsia" w:ascii="宋体" w:hAnsi="宋体" w:cs="宋体"/>
          <w:color w:val="auto"/>
          <w:highlight w:val="none"/>
        </w:rPr>
        <w:t xml:space="preserve">特别约定外，合同条款中标的物的质量保证期均自标的物通过最终验收之日起计算，且质量保证期为乙方承诺期限。</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乙方应以优良的服务态度，提供优质的售后服务。</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其它按乙方</w:t>
      </w:r>
      <w:r>
        <w:rPr>
          <w:rFonts w:hint="eastAsia" w:ascii="宋体" w:hAnsi="宋体" w:cs="宋体"/>
          <w:color w:val="auto"/>
          <w:highlight w:val="none"/>
        </w:rPr>
        <w:t xml:space="preserve">投标文件及相关承诺中等同或优于招标文件的要求执行。</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乙方不履行或拖延履行质保义务、售后服务义务的，甲方有权直接聘请第三方提供，因此而造成的费用、损失风险由乙方承担，甲方可在合同应付款中直接予以扣除。</w:t>
      </w:r>
      <w:r/>
    </w:p>
    <w:p>
      <w:pPr>
        <w:numPr>
          <w:ilvl w:val="0"/>
          <w:numId w:val="28"/>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违约责任</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甲方违约责任及违约金支付：</w:t>
      </w:r>
      <w:r/>
    </w:p>
    <w:p>
      <w:pPr>
        <w:numPr>
          <w:ilvl w:val="0"/>
          <w:numId w:val="30"/>
        </w:numPr>
        <w:ind w:left="1080" w:right="-153" w:hanging="540"/>
        <w:spacing w:line="400" w:lineRule="exact"/>
        <w:tabs>
          <w:tab w:val="left" w:pos="1080" w:leader="none"/>
        </w:tabs>
        <w:rPr>
          <w:rFonts w:ascii="宋体" w:hAnsi="宋体" w:cs="宋体"/>
          <w:color w:val="auto"/>
          <w:highlight w:val="none"/>
        </w:rPr>
      </w:pPr>
      <w:r>
        <w:rPr>
          <w:rFonts w:hint="eastAsia" w:ascii="宋体" w:hAnsi="宋体" w:cs="宋体"/>
          <w:color w:val="auto"/>
          <w:highlight w:val="none"/>
        </w:rPr>
        <w:t xml:space="preserve">在合同生效后，甲方无理由要求退货的，应向乙方偿付合同总价款的5%，作为违约金，违约金不足以补偿损失的，乙方有权要求甲方补足。</w:t>
      </w:r>
      <w:r/>
    </w:p>
    <w:p>
      <w:pPr>
        <w:numPr>
          <w:ilvl w:val="0"/>
          <w:numId w:val="30"/>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甲方违反合同规定，拒绝接受乙方交付的合格标的物，应当承担乙方由此造成的损失。       </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乙方违约责任及违约金支付：</w:t>
      </w:r>
      <w:r/>
    </w:p>
    <w:p>
      <w:pPr>
        <w:numPr>
          <w:ilvl w:val="0"/>
          <w:numId w:val="31"/>
        </w:numPr>
        <w:ind w:left="1080" w:right="-153" w:hanging="540"/>
        <w:spacing w:line="400" w:lineRule="exact"/>
        <w:tabs>
          <w:tab w:val="left" w:pos="1080" w:leader="none"/>
        </w:tabs>
        <w:rPr>
          <w:rFonts w:ascii="宋体" w:hAnsi="宋体" w:cs="宋体"/>
          <w:color w:val="auto"/>
          <w:highlight w:val="none"/>
        </w:rPr>
      </w:pPr>
      <w:r>
        <w:rPr>
          <w:rFonts w:hint="eastAsia" w:ascii="宋体" w:hAnsi="宋体" w:cs="宋体"/>
          <w:color w:val="auto"/>
          <w:highlight w:val="none"/>
        </w:rPr>
        <w:t xml:space="preserve">乙方不能交货（逾期超过</w:t>
      </w:r>
      <w:r>
        <w:rPr>
          <w:rFonts w:hint="eastAsia" w:cs="宋体"/>
          <w:color w:val="auto"/>
          <w:highlight w:val="none"/>
        </w:rPr>
        <w:t xml:space="preserve">七</w:t>
      </w:r>
      <w:r>
        <w:rPr>
          <w:rFonts w:hint="eastAsia" w:ascii="宋体" w:hAnsi="宋体" w:cs="宋体"/>
          <w:color w:val="auto"/>
          <w:highlight w:val="none"/>
        </w:rPr>
        <w:t xml:space="preserve">天视为不能交货），或交货不合格的，应向甲方偿付合同总价款5%的违约金，金额不足以补偿损失的甲方有权要求乙方补足。</w:t>
      </w:r>
      <w:r/>
    </w:p>
    <w:p>
      <w:pPr>
        <w:numPr>
          <w:ilvl w:val="0"/>
          <w:numId w:val="31"/>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乙方逾期交货的，应在发货前与甲方和管理部门协商，甲方仍需求的，乙方应立即发货并应按照逾期交货部分货款的每天万分之四支付逾期交货违约金，同时承担甲方因此遭致的损失费用。</w:t>
      </w:r>
      <w:r/>
    </w:p>
    <w:p>
      <w:pPr>
        <w:numPr>
          <w:ilvl w:val="0"/>
          <w:numId w:val="31"/>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采购文件规定的其他违约情形及责任。</w:t>
      </w:r>
      <w:r/>
    </w:p>
    <w:p>
      <w:pPr>
        <w:numPr>
          <w:ilvl w:val="0"/>
          <w:numId w:val="28"/>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不可抗力</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因不可抗力不能履行合同的，根据不可抗力的影响，部分或者全部免除责任。但合同一方延迟履行后发生不可抗力的，不能免除责任。</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合同一方因不可抗力不能履行合同的，应当及时通知对方，以减轻可能给对方造成的损失，并应当在合理期限内提供证明。</w:t>
      </w:r>
      <w:r/>
    </w:p>
    <w:p>
      <w:pPr>
        <w:numPr>
          <w:ilvl w:val="0"/>
          <w:numId w:val="28"/>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索赔</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甲方有权根据当地产品质量检验机构或其他有权部门出具的检验证书向乙方提出索赔。</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在本合同规定的检验期限和质量保证期内，如果乙方对甲方提出的索赔或差异有责任，则乙方应按甲方同意的下列一种或多种方式解决索赔事宜：</w:t>
      </w:r>
      <w:r/>
    </w:p>
    <w:p>
      <w:pPr>
        <w:numPr>
          <w:ilvl w:val="0"/>
          <w:numId w:val="32"/>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乙方同意退货，并按合同规定的货币将货款退还给甲方，并且承担由此发生的一切损失和费用，包括利息、银行手续费、运费、保险费、检验费、仓储费、装卸费以及为保护退回标的物所需的其他必要费用。</w:t>
      </w:r>
      <w:r/>
    </w:p>
    <w:p>
      <w:pPr>
        <w:numPr>
          <w:ilvl w:val="0"/>
          <w:numId w:val="32"/>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根据标的物的低劣程度、损坏程度以及甲方遭受损失的数额，经双方协商确定标的物的价格。</w:t>
      </w:r>
      <w:r/>
    </w:p>
    <w:p>
      <w:pPr>
        <w:numPr>
          <w:ilvl w:val="0"/>
          <w:numId w:val="32"/>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numPr>
          <w:ilvl w:val="0"/>
          <w:numId w:val="28"/>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合同修改</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甲方和乙方都不得擅自变更本合同，但合同继续履行将损害国家和社会公共利益的除外。在合同履行中，甲方可以增加原中标货物的数量，但增加的总金额不得超过中标货物金额的10%。</w:t>
      </w:r>
      <w:r/>
    </w:p>
    <w:p>
      <w:pPr>
        <w:numPr>
          <w:ilvl w:val="0"/>
          <w:numId w:val="28"/>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转让及分包</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政府采购合同的部分和全部都不得转让、分包。</w:t>
      </w:r>
      <w:r/>
    </w:p>
    <w:p>
      <w:pPr>
        <w:numPr>
          <w:ilvl w:val="0"/>
          <w:numId w:val="28"/>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合同的解除</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有下列情形之一，合同一方可以解除合同：</w:t>
      </w:r>
      <w:r/>
    </w:p>
    <w:p>
      <w:pPr>
        <w:numPr>
          <w:ilvl w:val="0"/>
          <w:numId w:val="33"/>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因不可抗力致使不能实现合同目的，未受不可抗力影响的一方有权解除合同；</w:t>
      </w:r>
      <w:r/>
    </w:p>
    <w:p>
      <w:pPr>
        <w:numPr>
          <w:ilvl w:val="0"/>
          <w:numId w:val="33"/>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因合同一方违约导致合同不能履行，另一方有权解除合同。</w:t>
      </w:r>
      <w:r/>
    </w:p>
    <w:p>
      <w:pPr>
        <w:numPr>
          <w:ilvl w:val="0"/>
          <w:numId w:val="33"/>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招标文件规定的其他可以解除合同的情形。</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有权解除合同的一方，应当在违约事实或不可抗力发生之后三十天内书面通知对方以主张解除合同，合同在书面通知到达对方时解除。</w:t>
      </w:r>
      <w:r/>
    </w:p>
    <w:p>
      <w:pPr>
        <w:numPr>
          <w:ilvl w:val="0"/>
          <w:numId w:val="28"/>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争议解决办法</w:t>
      </w:r>
      <w:r/>
    </w:p>
    <w:p>
      <w:pPr>
        <w:ind w:firstLine="539"/>
        <w:spacing w:line="400" w:lineRule="exact"/>
        <w:rPr>
          <w:rFonts w:ascii="宋体" w:hAnsi="宋体" w:cs="宋体"/>
          <w:color w:val="auto"/>
          <w:highlight w:val="none"/>
        </w:rPr>
      </w:pPr>
      <w:r>
        <w:rPr>
          <w:rFonts w:hint="eastAsia" w:ascii="宋体" w:hAnsi="宋体" w:cs="宋体"/>
          <w:color w:val="auto"/>
          <w:highlight w:val="none"/>
        </w:rPr>
        <w:t xml:space="preserve">因本合同或与本合同有关的一切事项发生争议，由双方友好协商解决。协商不成的，任何一方均可选择以下方式解决：</w:t>
      </w:r>
      <w:r/>
    </w:p>
    <w:p>
      <w:pPr>
        <w:ind w:firstLine="539"/>
        <w:spacing w:line="400" w:lineRule="exact"/>
        <w:rPr>
          <w:rFonts w:ascii="宋体" w:hAnsi="宋体" w:cs="宋体"/>
          <w:color w:val="auto"/>
          <w:highlight w:val="none"/>
        </w:rPr>
      </w:pPr>
      <w:r>
        <w:rPr>
          <w:rFonts w:hint="eastAsia" w:ascii="宋体" w:hAnsi="宋体" w:cs="宋体"/>
          <w:color w:val="auto"/>
          <w:highlight w:val="none"/>
        </w:rPr>
        <w:t xml:space="preserve">向甲方所在地的人民法院起诉。</w:t>
      </w:r>
      <w:r/>
    </w:p>
    <w:p>
      <w:pPr>
        <w:numPr>
          <w:ilvl w:val="0"/>
          <w:numId w:val="28"/>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合同生效及其他</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lang w:val="zh-CN"/>
        </w:rPr>
      </w:pPr>
      <w:r/>
      <w:bookmarkStart w:id="3" w:name="_Hlk160809803"/>
      <w:r>
        <w:rPr>
          <w:rFonts w:hint="eastAsia" w:ascii="宋体" w:hAnsi="宋体" w:cs="宋体"/>
          <w:color w:val="auto"/>
          <w:highlight w:val="none"/>
        </w:rPr>
        <w:t xml:space="preserve">如甲乙双方通过“苏采云”系统线上签订电子合同的，则本合同自双方在“苏采云”系统中加盖电子印章之日起生效。如甲乙双方签订纸质合同的，则本合同自甲乙双方签章之日起生效。</w:t>
      </w:r>
      <w:bookmarkEnd w:id="3"/>
      <w:r>
        <w:rPr>
          <w:rFonts w:hint="eastAsia" w:ascii="宋体" w:hAnsi="宋体" w:cs="宋体"/>
          <w:color w:val="auto"/>
          <w:highlight w:val="none"/>
        </w:rPr>
        <w:t xml:space="preserve">合同签订后将进行公示。</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下列文件为本合同不可分割部分：</w:t>
      </w:r>
      <w:r/>
    </w:p>
    <w:p>
      <w:pPr>
        <w:numPr>
          <w:ilvl w:val="0"/>
          <w:numId w:val="34"/>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成交通知书；</w:t>
      </w:r>
      <w:r/>
    </w:p>
    <w:p>
      <w:pPr>
        <w:numPr>
          <w:ilvl w:val="0"/>
          <w:numId w:val="34"/>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乙方的响应文件；</w:t>
      </w:r>
      <w:r/>
    </w:p>
    <w:p>
      <w:pPr>
        <w:numPr>
          <w:ilvl w:val="0"/>
          <w:numId w:val="34"/>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谈判文件；</w:t>
      </w:r>
      <w:r/>
    </w:p>
    <w:p>
      <w:pPr>
        <w:numPr>
          <w:ilvl w:val="0"/>
          <w:numId w:val="34"/>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乙方在谈判过程中所作的其他承诺、声明、书面澄清等。</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合同在执行过程中出现的未尽事宜，双方在不违背本合同和采购文件的原则下协商解决，协商结果以书面形式盖章记录在案，作为本合同的附件，与本合同具有同等效力，并提交监督管理部门和苏州市原鑫招投标咨询服务有限公司备存。</w:t>
      </w:r>
      <w:r/>
    </w:p>
    <w:p>
      <w:pPr>
        <w:numPr>
          <w:ilvl w:val="0"/>
          <w:numId w:val="28"/>
        </w:numPr>
        <w:ind w:left="540" w:hanging="540"/>
        <w:spacing w:line="400" w:lineRule="exact"/>
        <w:tabs>
          <w:tab w:val="left" w:pos="-180" w:leader="none"/>
          <w:tab w:val="clear" w:pos="425" w:leader="none"/>
        </w:tabs>
        <w:rPr>
          <w:rFonts w:ascii="宋体" w:hAnsi="宋体" w:cs="宋体"/>
          <w:b/>
          <w:color w:val="auto"/>
          <w:highlight w:val="none"/>
        </w:rPr>
      </w:pPr>
      <w:r>
        <w:rPr>
          <w:rFonts w:hint="eastAsia" w:ascii="宋体" w:hAnsi="宋体" w:cs="宋体"/>
          <w:b/>
          <w:color w:val="auto"/>
          <w:highlight w:val="none"/>
        </w:rPr>
        <w:t xml:space="preserve">未尽事宜</w:t>
      </w:r>
      <w:r/>
    </w:p>
    <w:p>
      <w:pPr>
        <w:numPr>
          <w:ilvl w:val="1"/>
          <w:numId w:val="28"/>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未尽事宜按照《中华人民共和国民法典》、《中华人民共和国政府采购法》等相关法律法规之规定解释。</w:t>
      </w:r>
      <w:r/>
    </w:p>
    <w:p>
      <w:pPr>
        <w:numPr>
          <w:ilvl w:val="0"/>
          <w:numId w:val="28"/>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附则</w:t>
      </w:r>
      <w:r/>
    </w:p>
    <w:p>
      <w:pPr>
        <w:numPr>
          <w:ilvl w:val="1"/>
          <w:numId w:val="28"/>
        </w:numPr>
        <w:ind w:left="540" w:hanging="540"/>
        <w:spacing w:line="400" w:lineRule="exact"/>
        <w:tabs>
          <w:tab w:val="left" w:pos="540" w:leader="none"/>
          <w:tab w:val="clear" w:pos="567" w:leader="none"/>
        </w:tabs>
        <w:rPr>
          <w:rFonts w:ascii="宋体" w:hAnsi="宋体" w:cs="宋体"/>
          <w:bCs/>
          <w:color w:val="auto"/>
          <w:highlight w:val="none"/>
        </w:rPr>
      </w:pPr>
      <w:r>
        <w:rPr>
          <w:rFonts w:hint="eastAsia" w:ascii="宋体" w:hAnsi="宋体" w:cs="宋体"/>
          <w:bCs/>
          <w:color w:val="auto"/>
          <w:highlight w:val="none"/>
        </w:rPr>
        <w:t xml:space="preserve">本合同一式</w:t>
      </w:r>
      <w:r>
        <w:rPr>
          <w:rFonts w:hint="eastAsia" w:ascii="宋体" w:hAnsi="宋体" w:cs="宋体"/>
          <w:bCs/>
          <w:color w:val="auto"/>
          <w:highlight w:val="none"/>
          <w:u w:val="single"/>
        </w:rPr>
        <w:t xml:space="preserve"> 五 </w:t>
      </w:r>
      <w:r>
        <w:rPr>
          <w:rFonts w:hint="eastAsia" w:ascii="宋体" w:hAnsi="宋体" w:cs="宋体"/>
          <w:bCs/>
          <w:color w:val="auto"/>
          <w:highlight w:val="none"/>
        </w:rPr>
        <w:t xml:space="preserve">份，甲方执</w:t>
      </w:r>
      <w:r>
        <w:rPr>
          <w:rFonts w:hint="eastAsia" w:ascii="宋体" w:hAnsi="宋体" w:cs="宋体"/>
          <w:bCs/>
          <w:color w:val="auto"/>
          <w:highlight w:val="none"/>
          <w:u w:val="single"/>
        </w:rPr>
        <w:t xml:space="preserve"> 二 </w:t>
      </w:r>
      <w:r>
        <w:rPr>
          <w:rFonts w:hint="eastAsia" w:ascii="宋体" w:hAnsi="宋体" w:cs="宋体"/>
          <w:bCs/>
          <w:color w:val="auto"/>
          <w:highlight w:val="none"/>
        </w:rPr>
        <w:t xml:space="preserve">份，乙方执</w:t>
      </w:r>
      <w:r>
        <w:rPr>
          <w:rFonts w:hint="eastAsia" w:ascii="宋体" w:hAnsi="宋体" w:cs="宋体"/>
          <w:bCs/>
          <w:color w:val="auto"/>
          <w:highlight w:val="none"/>
          <w:u w:val="single"/>
        </w:rPr>
        <w:t xml:space="preserve"> 二 </w:t>
      </w:r>
      <w:r>
        <w:rPr>
          <w:rFonts w:hint="eastAsia" w:ascii="宋体" w:hAnsi="宋体" w:cs="宋体"/>
          <w:bCs/>
          <w:color w:val="auto"/>
          <w:highlight w:val="none"/>
        </w:rPr>
        <w:t xml:space="preserve">份，采购代理机构一份。</w:t>
      </w:r>
      <w:r/>
    </w:p>
    <w:p>
      <w:pPr>
        <w:numPr>
          <w:ilvl w:val="0"/>
          <w:numId w:val="28"/>
        </w:numPr>
        <w:ind w:left="540" w:hanging="540"/>
        <w:spacing w:line="400" w:lineRule="exact"/>
        <w:tabs>
          <w:tab w:val="clear" w:pos="425" w:leader="none"/>
          <w:tab w:val="left" w:pos="540" w:leader="none"/>
        </w:tabs>
        <w:rPr>
          <w:rFonts w:ascii="宋体" w:hAnsi="宋体" w:cs="宋体"/>
          <w:b/>
          <w:bCs/>
          <w:color w:val="auto"/>
          <w:highlight w:val="none"/>
        </w:rPr>
      </w:pPr>
      <w:r>
        <w:rPr>
          <w:rFonts w:hint="eastAsia" w:cs="宋体"/>
          <w:b/>
          <w:bCs/>
          <w:color w:val="auto"/>
          <w:highlight w:val="none"/>
        </w:rPr>
        <w:t xml:space="preserve">附件</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甲方（盖章）：                                 乙方（盖章）：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法定（授权）代表人（签字）：                   法定（授权）代表人（签字）：</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签订日期：  </w:t>
      </w:r>
      <w:r/>
    </w:p>
    <w:p>
      <w:pPr>
        <w:rPr>
          <w:rFonts w:cs="宋体"/>
          <w:color w:val="auto"/>
          <w:highlight w:val="none"/>
        </w:rPr>
      </w:pPr>
      <w:r>
        <w:rPr>
          <w:rFonts w:cs="宋体"/>
          <w:color w:val="auto"/>
          <w:highlight w:val="none"/>
        </w:rPr>
      </w:r>
      <w:r/>
    </w:p>
    <w:p>
      <w:pPr>
        <w:pStyle w:val="942"/>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color w:val="auto"/>
          <w:highlight w:val="none"/>
        </w:rPr>
      </w:pPr>
      <w:r>
        <w:rPr>
          <w:rFonts w:hint="eastAsia" w:ascii="宋体" w:hAnsi="宋体" w:cs="宋体"/>
          <w:color w:val="auto"/>
          <w:highlight w:val="none"/>
        </w:rPr>
        <w:br w:type="page" w:clear="all"/>
      </w:r>
      <w:r/>
    </w:p>
    <w:p>
      <w:pPr>
        <w:jc w:val="center"/>
        <w:spacing w:line="360" w:lineRule="auto"/>
        <w:tabs>
          <w:tab w:val="left" w:pos="555" w:leader="none"/>
        </w:tabs>
        <w:rPr>
          <w:rFonts w:ascii="宋体" w:hAnsi="宋体"/>
          <w:b/>
          <w:color w:val="auto"/>
          <w:highlight w:val="none"/>
        </w:rPr>
        <w:outlineLvl w:val="0"/>
      </w:pPr>
      <w:r>
        <w:rPr>
          <w:rFonts w:hint="eastAsia" w:ascii="宋体" w:hAnsi="宋体"/>
          <w:b/>
          <w:color w:val="auto"/>
          <w:sz w:val="32"/>
          <w:szCs w:val="32"/>
          <w:highlight w:val="none"/>
        </w:rPr>
        <w:t xml:space="preserve">四、附件、格式</w:t>
      </w:r>
      <w:r/>
    </w:p>
    <w:p>
      <w:pPr>
        <w:pStyle w:val="942"/>
        <w:spacing w:line="360" w:lineRule="auto"/>
        <w:rPr>
          <w:rFonts w:ascii="宋体" w:hAnsi="宋体"/>
          <w:b/>
          <w:color w:val="auto"/>
          <w:sz w:val="21"/>
          <w:szCs w:val="21"/>
          <w:highlight w:val="none"/>
        </w:rPr>
        <w:outlineLvl w:val="0"/>
      </w:pPr>
      <w:r>
        <w:rPr>
          <w:rFonts w:hint="eastAsia" w:ascii="宋体" w:hAnsi="宋体"/>
          <w:b/>
          <w:color w:val="auto"/>
          <w:sz w:val="21"/>
          <w:szCs w:val="21"/>
          <w:highlight w:val="none"/>
        </w:rPr>
        <w:t xml:space="preserve">附件1</w:t>
      </w:r>
      <w:r/>
    </w:p>
    <w:p>
      <w:pPr>
        <w:jc w:val="center"/>
        <w:spacing w:line="360" w:lineRule="auto"/>
        <w:rPr>
          <w:rFonts w:ascii="宋体" w:hAnsi="宋体"/>
          <w:b/>
          <w:bCs/>
          <w:color w:val="auto"/>
          <w:sz w:val="24"/>
          <w:highlight w:val="none"/>
        </w:rPr>
      </w:pPr>
      <w:r>
        <w:rPr>
          <w:rFonts w:hint="eastAsia" w:ascii="宋体" w:hAnsi="宋体"/>
          <w:b/>
          <w:bCs/>
          <w:color w:val="auto"/>
          <w:sz w:val="24"/>
          <w:highlight w:val="none"/>
        </w:rPr>
        <w:t xml:space="preserve">谈判报价表</w:t>
      </w:r>
      <w:r/>
    </w:p>
    <w:p>
      <w:pPr>
        <w:jc w:val="center"/>
        <w:spacing w:line="360" w:lineRule="auto"/>
        <w:rPr>
          <w:rFonts w:ascii="宋体" w:hAnsi="宋体"/>
          <w:b/>
          <w:bCs/>
          <w:color w:val="auto"/>
          <w:sz w:val="24"/>
          <w:highlight w:val="none"/>
        </w:rPr>
      </w:pPr>
      <w:r>
        <w:rPr>
          <w:rFonts w:hint="eastAsia" w:ascii="宋体" w:hAnsi="宋体"/>
          <w:b/>
          <w:bCs/>
          <w:color w:val="auto"/>
          <w:sz w:val="24"/>
          <w:highlight w:val="none"/>
        </w:rPr>
        <w:t xml:space="preserve">（按投标系统统一格式填写，填报总价）</w:t>
      </w:r>
      <w:r/>
    </w:p>
    <w:p>
      <w:pPr>
        <w:jc w:val="center"/>
        <w:spacing w:line="360" w:lineRule="auto"/>
        <w:rPr>
          <w:rFonts w:ascii="宋体" w:hAnsi="宋体"/>
          <w:b/>
          <w:bCs/>
          <w:color w:val="auto"/>
          <w:sz w:val="24"/>
          <w:highlight w:val="none"/>
        </w:rPr>
      </w:pPr>
      <w:r>
        <w:rPr>
          <w:rFonts w:ascii="宋体" w:hAnsi="宋体"/>
          <w:b/>
          <w:bCs/>
          <w:color w:val="auto"/>
          <w:sz w:val="24"/>
          <w:highlight w:val="none"/>
        </w:rPr>
      </w:r>
      <w:r/>
    </w:p>
    <w:p>
      <w:pPr>
        <w:jc w:val="center"/>
        <w:spacing w:line="360" w:lineRule="auto"/>
        <w:rPr>
          <w:rFonts w:ascii="宋体" w:hAnsi="宋体"/>
          <w:b/>
          <w:bCs/>
          <w:color w:val="auto"/>
          <w:sz w:val="24"/>
          <w:highlight w:val="none"/>
        </w:rPr>
      </w:pPr>
      <w:r>
        <w:rPr>
          <w:rFonts w:hint="eastAsia" w:ascii="宋体" w:hAnsi="宋体"/>
          <w:b/>
          <w:bCs/>
          <w:color w:val="auto"/>
          <w:sz w:val="24"/>
          <w:highlight w:val="none"/>
        </w:rPr>
        <w:t xml:space="preserve">谈判报价分项明细表</w:t>
      </w:r>
      <w:r/>
    </w:p>
    <w:tbl>
      <w:tblPr>
        <w:tblStyle w:val="936"/>
        <w:tblW w:w="10606"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1359"/>
        <w:gridCol w:w="2335"/>
        <w:gridCol w:w="1307"/>
        <w:gridCol w:w="1134"/>
        <w:gridCol w:w="1012"/>
        <w:gridCol w:w="995"/>
        <w:gridCol w:w="1613"/>
      </w:tblGrid>
      <w:tr>
        <w:trPr>
          <w:jc w:val="center"/>
          <w:trHeight w:val="624"/>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品牌、型号、规格</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制造商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总价（元）</w:t>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是否小微、监狱、残疾人企业制造</w:t>
            </w:r>
            <w:r/>
          </w:p>
        </w:tc>
      </w:tr>
      <w:tr>
        <w:trPr>
          <w:jc w:val="center"/>
          <w:trHeight w:val="624"/>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r>
      <w:tr>
        <w:trPr>
          <w:jc w:val="center"/>
          <w:trHeight w:val="624"/>
        </w:trPr>
        <w:tc>
          <w:tcPr>
            <w:gridSpan w:val="8"/>
            <w:tcBorders>
              <w:top w:val="none" w:color="000000" w:sz="4" w:space="0"/>
              <w:left w:val="single" w:color="auto" w:sz="4" w:space="0"/>
              <w:bottom w:val="single" w:color="auto" w:sz="4" w:space="0"/>
              <w:right w:val="single" w:color="auto" w:sz="4" w:space="0"/>
            </w:tcBorders>
            <w:tcW w:w="10606"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谈判总报价（人民币大写）：</w:t>
            </w:r>
            <w:r>
              <w:rPr>
                <w:rFonts w:ascii="宋体" w:hAnsi="宋体"/>
                <w:color w:val="auto"/>
                <w:spacing w:val="20"/>
                <w:szCs w:val="21"/>
                <w:highlight w:val="none"/>
              </w:rPr>
              <w:t xml:space="preserve">                  </w:t>
            </w:r>
            <w:r>
              <w:rPr>
                <w:rFonts w:hint="eastAsia" w:ascii="宋体" w:hAnsi="宋体"/>
                <w:color w:val="auto"/>
                <w:spacing w:val="20"/>
                <w:szCs w:val="21"/>
                <w:highlight w:val="none"/>
              </w:rPr>
              <w:t xml:space="preserve">￥：</w:t>
            </w:r>
            <w:r/>
          </w:p>
        </w:tc>
      </w:tr>
    </w:tbl>
    <w:p>
      <w:pPr>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供应商：（公章）</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注：上述报价包含一切由供方承担的费用，各响应单位可参照上述格式自制《谈判响应报价表》参加谈判。</w:t>
      </w:r>
      <w:r/>
    </w:p>
    <w:p>
      <w:pPr>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ascii="宋体" w:hAnsi="宋体"/>
          <w:color w:val="auto"/>
          <w:szCs w:val="21"/>
          <w:highlight w:val="none"/>
        </w:rPr>
      </w:r>
      <w:r/>
    </w:p>
    <w:p>
      <w:pPr>
        <w:pStyle w:val="942"/>
        <w:spacing w:line="360" w:lineRule="auto"/>
        <w:rPr>
          <w:rFonts w:ascii="宋体" w:hAnsi="宋体"/>
          <w:b/>
          <w:color w:val="auto"/>
          <w:sz w:val="21"/>
          <w:szCs w:val="21"/>
          <w:highlight w:val="none"/>
        </w:rPr>
        <w:outlineLvl w:val="0"/>
      </w:pPr>
      <w:r>
        <w:rPr>
          <w:rFonts w:ascii="宋体" w:hAnsi="宋体"/>
          <w:b/>
          <w:color w:val="auto"/>
          <w:szCs w:val="28"/>
          <w:highlight w:val="none"/>
        </w:rPr>
        <w:br w:type="page" w:clear="all"/>
      </w:r>
      <w:r>
        <w:rPr>
          <w:rFonts w:hint="eastAsia" w:ascii="宋体" w:hAnsi="宋体"/>
          <w:b/>
          <w:color w:val="auto"/>
          <w:sz w:val="21"/>
          <w:szCs w:val="21"/>
          <w:highlight w:val="none"/>
        </w:rPr>
        <w:t xml:space="preserve">附件2</w:t>
      </w:r>
      <w:r/>
    </w:p>
    <w:p>
      <w:pPr>
        <w:pStyle w:val="942"/>
        <w:jc w:val="center"/>
        <w:spacing w:line="360" w:lineRule="auto"/>
        <w:rPr>
          <w:rFonts w:ascii="宋体" w:hAnsi="宋体"/>
          <w:b/>
          <w:color w:val="auto"/>
          <w:szCs w:val="28"/>
          <w:highlight w:val="none"/>
        </w:rPr>
        <w:outlineLvl w:val="0"/>
      </w:pPr>
      <w:r>
        <w:rPr>
          <w:rFonts w:hint="eastAsia" w:ascii="宋体" w:hAnsi="宋体"/>
          <w:b/>
          <w:color w:val="auto"/>
          <w:szCs w:val="28"/>
          <w:highlight w:val="none"/>
        </w:rPr>
        <w:t xml:space="preserve">谈判响应承诺书</w:t>
      </w:r>
      <w:r/>
    </w:p>
    <w:p>
      <w:pPr>
        <w:jc w:val="center"/>
        <w:spacing w:line="360" w:lineRule="auto"/>
        <w:rPr>
          <w:rFonts w:ascii="宋体" w:hAnsi="宋体"/>
          <w:b/>
          <w:bCs/>
          <w:color w:val="auto"/>
          <w:spacing w:val="20"/>
          <w:szCs w:val="21"/>
          <w:highlight w:val="none"/>
        </w:rPr>
      </w:pPr>
      <w:r>
        <w:rPr>
          <w:rFonts w:ascii="宋体" w:hAnsi="宋体"/>
          <w:b/>
          <w:bCs/>
          <w:color w:val="auto"/>
          <w:spacing w:val="20"/>
          <w:szCs w:val="21"/>
          <w:highlight w:val="none"/>
        </w:rPr>
      </w:r>
      <w:r/>
    </w:p>
    <w:p>
      <w:pPr>
        <w:pStyle w:val="949"/>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苏州市原鑫招投标咨询服务有限公司</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 </w:t>
      </w:r>
      <w:r/>
    </w:p>
    <w:p>
      <w:pPr>
        <w:pStyle w:val="949"/>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055"/>
        <w:contextualSpacing/>
        <w:ind w:firstLine="420"/>
        <w:spacing w:line="360" w:lineRule="auto"/>
        <w:tabs>
          <w:tab w:val="left" w:pos="3780" w:leader="none"/>
        </w:tabs>
        <w:rPr>
          <w:rFonts w:hAnsi="宋体" w:eastAsia="宋体"/>
          <w:color w:val="auto"/>
          <w:sz w:val="21"/>
          <w:szCs w:val="21"/>
          <w:highlight w:val="none"/>
        </w:rPr>
      </w:pPr>
      <w:r>
        <w:rPr>
          <w:rFonts w:hint="eastAsia" w:hAnsi="宋体" w:eastAsia="宋体"/>
          <w:color w:val="auto"/>
          <w:sz w:val="21"/>
          <w:szCs w:val="21"/>
          <w:highlight w:val="none"/>
        </w:rPr>
        <w:t xml:space="preserve">我们收到贵公司</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u w:val="single"/>
          <w:lang w:eastAsia="zh-CN"/>
        </w:rPr>
        <w:t xml:space="preserve">JSZC-320506-SZYX-T2025-0079</w:t>
      </w:r>
      <w:r>
        <w:rPr>
          <w:rFonts w:hint="eastAsia" w:hAnsi="宋体" w:eastAsia="宋体"/>
          <w:color w:val="auto"/>
          <w:sz w:val="21"/>
          <w:szCs w:val="21"/>
          <w:highlight w:val="none"/>
        </w:rPr>
        <w:t xml:space="preserve">号谈判文件，经仔细阅读和研究，我们决定参加谈判活动。</w:t>
      </w:r>
      <w:r/>
    </w:p>
    <w:p>
      <w:pPr>
        <w:pStyle w:val="1055"/>
        <w:contextualSpacing/>
        <w:ind w:firstLine="420"/>
        <w:spacing w:line="360" w:lineRule="auto"/>
        <w:rPr>
          <w:rFonts w:hAnsi="宋体" w:eastAsia="宋体"/>
          <w:b/>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我方愿意按照采购文件的一切要求，提供完成该项目的全部内容，我方的投标报价包括提供提供该项目全部内容。价格及明细见报价表，包含所发生的全部费用以及企业利润、税金和政策性文件规定及合同包含的所有风险、责任等各项应有费用。</w:t>
      </w:r>
      <w:r/>
    </w:p>
    <w:p>
      <w:pPr>
        <w:pStyle w:val="1055"/>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、如果我们的谈判响应文件被接受，我们将严格履行谈判文件中规定的每一项要求，按期、按质、按量履行合同的义务。</w:t>
      </w:r>
      <w:r/>
    </w:p>
    <w:p>
      <w:pPr>
        <w:pStyle w:val="1055"/>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、我们已</w:t>
      </w:r>
      <w:r>
        <w:rPr>
          <w:rFonts w:hAnsi="宋体" w:eastAsia="宋体"/>
          <w:color w:val="auto"/>
          <w:sz w:val="21"/>
          <w:szCs w:val="21"/>
          <w:highlight w:val="none"/>
        </w:rPr>
        <w:t xml:space="preserve">详细</w:t>
      </w:r>
      <w:r>
        <w:rPr>
          <w:rFonts w:hint="eastAsia" w:hAnsi="宋体" w:eastAsia="宋体"/>
          <w:color w:val="auto"/>
          <w:sz w:val="21"/>
          <w:szCs w:val="21"/>
          <w:highlight w:val="none"/>
        </w:rPr>
        <w:t xml:space="preserve">阅读</w:t>
      </w:r>
      <w:r>
        <w:rPr>
          <w:rFonts w:hAnsi="宋体" w:eastAsia="宋体"/>
          <w:color w:val="auto"/>
          <w:sz w:val="21"/>
          <w:szCs w:val="21"/>
          <w:highlight w:val="none"/>
        </w:rPr>
        <w:t xml:space="preserve">全部</w:t>
      </w:r>
      <w:r>
        <w:rPr>
          <w:rFonts w:hint="eastAsia" w:hAnsi="宋体" w:eastAsia="宋体"/>
          <w:color w:val="auto"/>
          <w:sz w:val="21"/>
          <w:szCs w:val="21"/>
          <w:highlight w:val="none"/>
        </w:rPr>
        <w:t xml:space="preserve">谈判文件</w:t>
      </w:r>
      <w:r>
        <w:rPr>
          <w:rFonts w:hAnsi="宋体" w:eastAsia="宋体"/>
          <w:color w:val="auto"/>
          <w:sz w:val="21"/>
          <w:szCs w:val="21"/>
          <w:highlight w:val="none"/>
        </w:rPr>
        <w:t xml:space="preserve">，包括</w:t>
      </w:r>
      <w:r>
        <w:rPr>
          <w:rFonts w:hint="eastAsia" w:hAnsi="宋体" w:eastAsia="宋体"/>
          <w:color w:val="auto"/>
          <w:sz w:val="21"/>
          <w:szCs w:val="21"/>
          <w:highlight w:val="none"/>
        </w:rPr>
        <w:t xml:space="preserve">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，对谈判文件及更正公告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无任何异议。</w:t>
      </w:r>
      <w:r/>
    </w:p>
    <w:p>
      <w:pPr>
        <w:pStyle w:val="105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4、我们同意按谈判文件中的规定，本响应文件的有效期限自提交响应文件截止时间之日起</w:t>
      </w:r>
      <w:r>
        <w:rPr>
          <w:rFonts w:hint="eastAsia" w:hAnsi="宋体" w:eastAsia="宋体"/>
          <w:color w:val="auto"/>
          <w:sz w:val="21"/>
          <w:szCs w:val="21"/>
          <w:highlight w:val="none"/>
          <w:u w:val="single"/>
        </w:rPr>
        <w:t xml:space="preserve">60</w:t>
      </w:r>
      <w:r>
        <w:rPr>
          <w:rFonts w:hint="eastAsia" w:hAnsi="宋体" w:eastAsia="宋体"/>
          <w:color w:val="auto"/>
          <w:sz w:val="21"/>
          <w:szCs w:val="21"/>
          <w:highlight w:val="none"/>
        </w:rPr>
        <w:t xml:space="preserve">天。</w:t>
      </w:r>
      <w:r/>
    </w:p>
    <w:p>
      <w:pPr>
        <w:pStyle w:val="105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5、我们愿意提供谈判采购单位在谈判文件中要求的相关资料。</w:t>
      </w:r>
      <w:r/>
    </w:p>
    <w:p>
      <w:pPr>
        <w:pStyle w:val="105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6、我们愿意遵守谈判文件中所列的收费标准。</w:t>
      </w:r>
      <w:r/>
    </w:p>
    <w:p>
      <w:pPr>
        <w:pStyle w:val="105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7、我们承诺该响应文件在谈判开始后的全过程中保持有效，不作任何更改和变动。</w:t>
      </w:r>
      <w:r/>
    </w:p>
    <w:p>
      <w:pPr>
        <w:pStyle w:val="105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8、我们承诺我公司符合谈判文件中“合格供应商的基本、特定条件”的要求，若与真实情况不符，本公司愿意承担由此而产生的一切后果。</w:t>
      </w:r>
      <w:r/>
    </w:p>
    <w:p>
      <w:pPr>
        <w:pStyle w:val="1055"/>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05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所有有关谈判文件的函电，请按下列地址联系：</w:t>
      </w:r>
      <w:r/>
    </w:p>
    <w:p>
      <w:pPr>
        <w:pStyle w:val="105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单位：                             联系人：</w:t>
      </w:r>
      <w:r/>
    </w:p>
    <w:p>
      <w:pPr>
        <w:pStyle w:val="105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地址：                             邮政编码：</w:t>
      </w:r>
      <w:r/>
    </w:p>
    <w:p>
      <w:pPr>
        <w:pStyle w:val="105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联系电话：                         传真：</w:t>
      </w:r>
      <w:r/>
    </w:p>
    <w:p>
      <w:pPr>
        <w:pStyle w:val="1055"/>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05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105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105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pStyle w:val="942"/>
        <w:spacing w:line="360" w:lineRule="auto"/>
        <w:rPr>
          <w:rFonts w:ascii="宋体" w:hAnsi="宋体"/>
          <w:b/>
          <w:color w:val="auto"/>
          <w:sz w:val="21"/>
          <w:szCs w:val="21"/>
          <w:highlight w:val="none"/>
        </w:rPr>
        <w:outlineLvl w:val="0"/>
      </w:pPr>
      <w:r>
        <w:rPr>
          <w:rFonts w:ascii="宋体" w:hAnsi="宋体"/>
          <w:b/>
          <w:color w:val="auto"/>
          <w:szCs w:val="21"/>
          <w:highlight w:val="none"/>
        </w:rPr>
        <w:br w:type="page" w:clear="all"/>
      </w:r>
      <w:r>
        <w:rPr>
          <w:rFonts w:hint="eastAsia" w:ascii="宋体" w:hAnsi="宋体"/>
          <w:b/>
          <w:color w:val="auto"/>
          <w:sz w:val="21"/>
          <w:szCs w:val="21"/>
          <w:highlight w:val="none"/>
        </w:rPr>
        <w:t xml:space="preserve">附件3</w:t>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授权委托书</w:t>
      </w:r>
      <w:r/>
    </w:p>
    <w:p>
      <w:pPr>
        <w:rPr>
          <w:rFonts w:ascii="宋体" w:hAnsi="宋体"/>
          <w:b/>
          <w:bCs/>
          <w:color w:val="auto"/>
          <w:szCs w:val="21"/>
          <w:highlight w:val="none"/>
        </w:rPr>
      </w:pPr>
      <w:r>
        <w:rPr>
          <w:rFonts w:ascii="宋体" w:hAnsi="宋体"/>
          <w:b/>
          <w:bCs/>
          <w:color w:val="auto"/>
          <w:szCs w:val="21"/>
          <w:highlight w:val="none"/>
        </w:rPr>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本授权委托书声明：</w:t>
      </w:r>
      <w:r>
        <w:rPr>
          <w:rFonts w:ascii="宋体" w:hAnsi="宋体"/>
          <w:color w:val="auto"/>
          <w:szCs w:val="21"/>
          <w:highlight w:val="none"/>
        </w:rPr>
        <w:t xml:space="preserve">  </w:t>
      </w:r>
      <w:r>
        <w:rPr>
          <w:rFonts w:hint="eastAsia" w:ascii="宋体" w:hAnsi="宋体"/>
          <w:color w:val="auto"/>
          <w:szCs w:val="21"/>
          <w:highlight w:val="none"/>
        </w:rPr>
        <w:t xml:space="preserve">我</w:t>
      </w:r>
      <w:r>
        <w:rPr>
          <w:rFonts w:ascii="宋体" w:hAnsi="宋体"/>
          <w:color w:val="auto"/>
          <w:szCs w:val="21"/>
          <w:highlight w:val="none"/>
          <w:u w:val="single"/>
        </w:rPr>
        <w:t xml:space="preserve">           </w:t>
      </w:r>
      <w:r>
        <w:rPr>
          <w:rFonts w:hint="eastAsia" w:ascii="宋体" w:hAnsi="宋体"/>
          <w:color w:val="auto"/>
          <w:szCs w:val="21"/>
          <w:highlight w:val="none"/>
        </w:rPr>
        <w:t xml:space="preserve">（姓名）系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（供应商名称）  </w:t>
      </w:r>
      <w:r>
        <w:rPr>
          <w:rFonts w:hint="eastAsia" w:ascii="宋体" w:hAnsi="宋体"/>
          <w:b/>
          <w:i/>
          <w:color w:val="auto"/>
          <w:szCs w:val="21"/>
          <w:highlight w:val="none"/>
          <w:u w:val="single"/>
        </w:rPr>
        <w:t xml:space="preserve">  </w:t>
      </w:r>
      <w:r>
        <w:rPr>
          <w:rFonts w:hint="eastAsia" w:ascii="宋体" w:hAnsi="宋体"/>
          <w:color w:val="auto"/>
          <w:szCs w:val="21"/>
          <w:highlight w:val="none"/>
        </w:rPr>
        <w:t xml:space="preserve">的法定代表人，现授权委托</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（姓名）</w:t>
      </w:r>
      <w:r>
        <w:rPr>
          <w:rFonts w:hint="eastAsia" w:ascii="宋体" w:hAnsi="宋体"/>
          <w:color w:val="auto"/>
          <w:szCs w:val="21"/>
          <w:highlight w:val="none"/>
        </w:rPr>
        <w:t xml:space="preserve">为我公司授权代表（即代理人），以本公司的名义参加</w:t>
      </w:r>
      <w:r>
        <w:rPr>
          <w:rFonts w:hint="eastAsia" w:ascii="宋体" w:hAnsi="宋体"/>
          <w:color w:val="auto"/>
          <w:szCs w:val="21"/>
          <w:highlight w:val="none"/>
          <w:u w:val="single"/>
        </w:rPr>
        <w:t xml:space="preserve">苏州市原鑫招投标咨询服务有限公司</w:t>
      </w:r>
      <w:r>
        <w:rPr>
          <w:rFonts w:hint="eastAsia" w:ascii="宋体" w:hAnsi="宋体"/>
          <w:color w:val="auto"/>
          <w:szCs w:val="21"/>
          <w:highlight w:val="none"/>
        </w:rPr>
        <w:t xml:space="preserve">组织实施的编号为</w:t>
      </w:r>
      <w:r>
        <w:rPr>
          <w:rFonts w:hint="eastAsia" w:ascii="宋体" w:hAnsi="宋体"/>
          <w:color w:val="auto"/>
          <w:szCs w:val="21"/>
          <w:highlight w:val="none"/>
          <w:u w:val="single"/>
          <w:lang w:eastAsia="zh-CN"/>
        </w:rPr>
        <w:t xml:space="preserve">JSZC-320506-SZYX-T2025-0079</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号的谈判活动。授权代表在谈判活动过程中所签署的一切文件和处理与这有关的一切事务，我均予以承认。</w:t>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授权代表在授权委托书有效期内签署的所有文件不因授权委托的撤销而失效，除非有撤销授权委托的书面通知，本授权委托书自谈判活动开始至合同履行完毕止。</w:t>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授权代表无转委托权。</w:t>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后附法定代表人及授权代表身份证复印件。</w:t>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特此委托。</w:t>
      </w:r>
      <w:r/>
    </w:p>
    <w:p>
      <w:pPr>
        <w:ind w:firstLine="840"/>
        <w:spacing w:line="520" w:lineRule="exact"/>
        <w:rPr>
          <w:rFonts w:ascii="宋体" w:hAnsi="宋体"/>
          <w:color w:val="auto"/>
          <w:szCs w:val="21"/>
          <w:highlight w:val="none"/>
        </w:rPr>
      </w:pPr>
      <w:r>
        <w:rPr>
          <w:rFonts w:ascii="宋体" w:hAnsi="宋体"/>
          <w:color w:val="auto"/>
          <w:szCs w:val="21"/>
          <w:highlight w:val="none"/>
        </w:rPr>
        <w:t xml:space="preserve">    </w:t>
      </w:r>
      <w:r/>
    </w:p>
    <w:p>
      <w:pPr>
        <w:ind w:firstLine="840"/>
        <w:spacing w:line="520" w:lineRule="exact"/>
        <w:rPr>
          <w:rFonts w:ascii="宋体" w:hAnsi="宋体"/>
          <w:color w:val="auto"/>
          <w:szCs w:val="21"/>
          <w:highlight w:val="none"/>
        </w:rPr>
      </w:pPr>
      <w:r>
        <w:rPr>
          <w:rFonts w:hint="eastAsia" w:ascii="宋体" w:hAnsi="宋体"/>
          <w:color w:val="auto"/>
          <w:szCs w:val="21"/>
          <w:highlight w:val="none"/>
        </w:rPr>
        <w:t xml:space="preserve">供应商：（公章）</w:t>
      </w:r>
      <w:r/>
    </w:p>
    <w:p>
      <w:pPr>
        <w:ind w:firstLine="840"/>
        <w:spacing w:line="520" w:lineRule="exact"/>
        <w:rPr>
          <w:rFonts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840"/>
        <w:spacing w:line="520" w:lineRule="exact"/>
        <w:rPr>
          <w:rFonts w:ascii="宋体" w:hAnsi="宋体"/>
          <w:color w:val="auto"/>
          <w:szCs w:val="21"/>
          <w:highlight w:val="none"/>
        </w:rPr>
      </w:pPr>
      <w:r>
        <w:rPr>
          <w:rFonts w:hint="eastAsia" w:ascii="宋体" w:hAnsi="宋体"/>
          <w:color w:val="auto"/>
          <w:szCs w:val="21"/>
          <w:highlight w:val="none"/>
        </w:rPr>
        <w:t xml:space="preserve">代理人：（签字或盖章）</w:t>
      </w:r>
      <w:r/>
    </w:p>
    <w:p>
      <w:pPr>
        <w:ind w:firstLine="840"/>
        <w:spacing w:line="520" w:lineRule="exact"/>
        <w:rPr>
          <w:rFonts w:ascii="宋体" w:hAnsi="宋体"/>
          <w:color w:val="auto"/>
          <w:szCs w:val="21"/>
          <w:highlight w:val="none"/>
        </w:rPr>
      </w:pPr>
      <w:r>
        <w:rPr>
          <w:rFonts w:hint="eastAsia" w:ascii="宋体" w:hAnsi="宋体"/>
          <w:color w:val="auto"/>
          <w:szCs w:val="21"/>
          <w:highlight w:val="none"/>
        </w:rPr>
        <w:t xml:space="preserve">日期：         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942"/>
        <w:spacing w:line="360" w:lineRule="auto"/>
        <w:rPr>
          <w:rFonts w:ascii="宋体" w:hAnsi="宋体"/>
          <w:b/>
          <w:color w:val="auto"/>
          <w:sz w:val="21"/>
          <w:szCs w:val="21"/>
          <w:highlight w:val="none"/>
        </w:rPr>
        <w:outlineLvl w:val="0"/>
      </w:pPr>
      <w:r>
        <w:rPr>
          <w:rFonts w:ascii="宋体" w:hAnsi="宋体"/>
          <w:color w:val="auto"/>
          <w:szCs w:val="21"/>
          <w:highlight w:val="none"/>
        </w:rPr>
        <w:br w:type="page" w:clear="all"/>
      </w:r>
      <w:r>
        <w:rPr>
          <w:rFonts w:hint="eastAsia" w:ascii="宋体" w:hAnsi="宋体"/>
          <w:b/>
          <w:color w:val="auto"/>
          <w:sz w:val="21"/>
          <w:szCs w:val="21"/>
          <w:highlight w:val="none"/>
        </w:rPr>
        <w:t xml:space="preserve">附件4</w:t>
      </w:r>
      <w:r/>
    </w:p>
    <w:p>
      <w:pPr>
        <w:jc w:val="center"/>
        <w:rPr>
          <w:rFonts w:ascii="宋体" w:hAnsi="宋体"/>
          <w:b/>
          <w:color w:val="auto"/>
          <w:szCs w:val="21"/>
          <w:highlight w:val="none"/>
        </w:rPr>
      </w:pPr>
      <w:r>
        <w:rPr>
          <w:rFonts w:hint="eastAsia" w:ascii="宋体" w:hAnsi="宋体"/>
          <w:b/>
          <w:color w:val="auto"/>
          <w:szCs w:val="21"/>
          <w:highlight w:val="none"/>
        </w:rPr>
        <w:t xml:space="preserve">技术参数、指标对照表</w:t>
      </w:r>
      <w:r/>
    </w:p>
    <w:p>
      <w:pPr>
        <w:ind w:firstLine="630"/>
        <w:spacing w:line="400" w:lineRule="exact"/>
        <w:rPr>
          <w:rFonts w:ascii="宋体" w:hAnsi="宋体"/>
          <w:b/>
          <w:color w:val="auto"/>
          <w:spacing w:val="20"/>
          <w:szCs w:val="21"/>
          <w:highlight w:val="none"/>
        </w:rPr>
      </w:pPr>
      <w:r>
        <w:rPr>
          <w:rFonts w:hint="eastAsia" w:ascii="宋体" w:hAnsi="宋体"/>
          <w:color w:val="auto"/>
          <w:szCs w:val="21"/>
          <w:highlight w:val="none"/>
          <w:lang w:val="zh-CN"/>
        </w:rPr>
        <w:t xml:space="preserve">采购编号</w:t>
      </w:r>
      <w:r>
        <w:rPr>
          <w:rFonts w:hint="eastAsia" w:ascii="宋体" w:hAnsi="宋体" w:cs="宋体"/>
          <w:color w:val="auto"/>
          <w:szCs w:val="21"/>
          <w:highlight w:val="none"/>
          <w:lang w:val="zh-CN"/>
        </w:rPr>
        <w:t xml:space="preserve">：JSZC-320506-SZYX-T2025-0079</w:t>
      </w:r>
      <w:r/>
    </w:p>
    <w:tbl>
      <w:tblPr>
        <w:tblStyle w:val="936"/>
        <w:tblW w:w="87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W w:w="1683" w:type="dxa"/>
            <w:vAlign w:val="center"/>
            <w:textDirection w:val="lrTb"/>
            <w:noWrap w:val="false"/>
          </w:tcPr>
          <w:p>
            <w:pPr>
              <w:ind w:left="54"/>
              <w:jc w:val="center"/>
              <w:spacing w:line="400" w:lineRule="exact"/>
              <w:rPr>
                <w:rFonts w:ascii="宋体" w:hAnsi="宋体"/>
                <w:color w:val="auto"/>
                <w:szCs w:val="21"/>
                <w:highlight w:val="none"/>
              </w:rPr>
            </w:pPr>
            <w:r>
              <w:rPr>
                <w:rFonts w:hint="eastAsia" w:ascii="宋体" w:hAnsi="宋体"/>
                <w:color w:val="auto"/>
                <w:szCs w:val="21"/>
                <w:highlight w:val="none"/>
              </w:rPr>
              <w:t xml:space="preserve">产品名称</w:t>
            </w:r>
            <w:r/>
          </w:p>
        </w:tc>
        <w:tc>
          <w:tcPr>
            <w:tcW w:w="205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w:t>
            </w:r>
            <w:r>
              <w:rPr>
                <w:rFonts w:ascii="宋体" w:hAnsi="宋体"/>
                <w:color w:val="auto"/>
                <w:szCs w:val="21"/>
                <w:highlight w:val="none"/>
              </w:rPr>
              <w:t xml:space="preserve">要求</w:t>
            </w:r>
            <w:r/>
          </w:p>
        </w:tc>
        <w:tc>
          <w:tcPr>
            <w:tcW w:w="2052"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响应情况</w:t>
            </w:r>
            <w:r/>
          </w:p>
        </w:tc>
        <w:tc>
          <w:tcPr>
            <w:tcW w:w="205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偏离说明</w:t>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2</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3</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4</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Cs w:val="21"/>
          <w:highlight w:val="none"/>
        </w:rPr>
      </w:pPr>
      <w:r>
        <w:rPr>
          <w:rFonts w:hint="eastAsia" w:ascii="宋体" w:hAnsi="宋体"/>
          <w:color w:val="auto"/>
          <w:szCs w:val="21"/>
          <w:highlight w:val="none"/>
        </w:rPr>
        <w:t xml:space="preserve">供应商：（单位盖章）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w:t>
      </w:r>
      <w:r/>
    </w:p>
    <w:p>
      <w:pPr>
        <w:rPr>
          <w:rFonts w:ascii="宋体" w:hAnsi="宋体"/>
          <w:b/>
          <w:color w:val="auto"/>
          <w:szCs w:val="21"/>
          <w:highlight w:val="none"/>
        </w:rPr>
      </w:pPr>
      <w:r>
        <w:rPr>
          <w:rFonts w:ascii="宋体" w:hAnsi="宋体"/>
          <w:b/>
          <w:color w:val="auto"/>
          <w:szCs w:val="21"/>
          <w:highlight w:val="none"/>
        </w:rPr>
      </w:r>
      <w:r/>
    </w:p>
    <w:p>
      <w:pPr>
        <w:pStyle w:val="942"/>
        <w:spacing w:line="360" w:lineRule="auto"/>
        <w:rPr>
          <w:rFonts w:ascii="宋体" w:hAnsi="宋体"/>
          <w:b/>
          <w:color w:val="auto"/>
          <w:sz w:val="21"/>
          <w:szCs w:val="21"/>
          <w:highlight w:val="none"/>
        </w:rPr>
        <w:outlineLvl w:val="0"/>
      </w:pPr>
      <w:r>
        <w:rPr>
          <w:rFonts w:hint="eastAsia" w:ascii="宋体" w:hAnsi="宋体"/>
          <w:b/>
          <w:color w:val="auto"/>
          <w:sz w:val="21"/>
          <w:szCs w:val="21"/>
          <w:highlight w:val="none"/>
        </w:rPr>
        <w:t xml:space="preserve">附件5</w:t>
      </w:r>
      <w:r/>
    </w:p>
    <w:p>
      <w:pPr>
        <w:jc w:val="center"/>
        <w:rPr>
          <w:rFonts w:ascii="宋体" w:hAnsi="宋体"/>
          <w:b/>
          <w:color w:val="auto"/>
          <w:szCs w:val="21"/>
          <w:highlight w:val="none"/>
        </w:rPr>
      </w:pPr>
      <w:r>
        <w:rPr>
          <w:rFonts w:hint="eastAsia" w:ascii="宋体" w:hAnsi="宋体"/>
          <w:b/>
          <w:color w:val="auto"/>
          <w:szCs w:val="21"/>
          <w:highlight w:val="none"/>
        </w:rPr>
        <w:t xml:space="preserve">售后服务承诺书</w:t>
      </w:r>
      <w:r/>
    </w:p>
    <w:p>
      <w:pPr>
        <w:ind w:firstLine="210"/>
        <w:rPr>
          <w:rFonts w:ascii="宋体" w:hAnsi="宋体"/>
          <w:b/>
          <w:color w:val="auto"/>
          <w:szCs w:val="21"/>
          <w:highlight w:val="none"/>
        </w:rPr>
      </w:pPr>
      <w:r>
        <w:rPr>
          <w:rFonts w:hint="eastAsia" w:ascii="宋体" w:hAnsi="宋体"/>
          <w:color w:val="auto"/>
          <w:szCs w:val="21"/>
          <w:highlight w:val="none"/>
          <w:lang w:val="zh-CN"/>
        </w:rPr>
        <w:t xml:space="preserve">采购编号</w:t>
      </w:r>
      <w:r>
        <w:rPr>
          <w:rFonts w:hint="eastAsia" w:ascii="宋体" w:hAnsi="宋体" w:cs="宋体"/>
          <w:color w:val="auto"/>
          <w:szCs w:val="21"/>
          <w:highlight w:val="none"/>
          <w:lang w:val="zh-CN"/>
        </w:rPr>
        <w:t xml:space="preserve">：JSZC-320506-SZYX-T2025-0079</w:t>
      </w:r>
      <w:r/>
    </w:p>
    <w:tbl>
      <w:tblPr>
        <w:tblStyle w:val="936"/>
        <w:tblW w:w="890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060"/>
        <w:gridCol w:w="1800"/>
        <w:gridCol w:w="2895"/>
      </w:tblGrid>
      <w:tr>
        <w:trPr>
          <w:jc w:val="center"/>
          <w:trHeight w:val="454"/>
        </w:trPr>
        <w:tc>
          <w:tcPr>
            <w:tcW w:w="11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306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售后服务内容</w:t>
            </w:r>
            <w:r/>
          </w:p>
        </w:tc>
        <w:tc>
          <w:tcPr>
            <w:tcW w:w="180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期限（时间）</w:t>
            </w:r>
            <w:r/>
          </w:p>
        </w:tc>
        <w:tc>
          <w:tcPr>
            <w:tcW w:w="289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454"/>
        </w:trPr>
        <w:tc>
          <w:tcPr>
            <w:tcW w:w="11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306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免费质保期</w:t>
            </w:r>
            <w:r/>
          </w:p>
        </w:tc>
        <w:tc>
          <w:tcPr>
            <w:tcW w:w="180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54"/>
        </w:trPr>
        <w:tc>
          <w:tcPr>
            <w:tcW w:w="11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306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服务响应</w:t>
            </w:r>
            <w:r/>
          </w:p>
        </w:tc>
        <w:tc>
          <w:tcPr>
            <w:tcW w:w="180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54"/>
        </w:trPr>
        <w:tc>
          <w:tcPr>
            <w:tcW w:w="11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306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到达现场</w:t>
            </w:r>
            <w:r/>
          </w:p>
        </w:tc>
        <w:tc>
          <w:tcPr>
            <w:tcW w:w="180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54"/>
        </w:trPr>
        <w:tc>
          <w:tcPr>
            <w:tcW w:w="11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306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解决问题</w:t>
            </w:r>
            <w:r/>
          </w:p>
        </w:tc>
        <w:tc>
          <w:tcPr>
            <w:tcW w:w="180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54"/>
        </w:trPr>
        <w:tc>
          <w:tcPr>
            <w:tcW w:w="11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306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80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Cs w:val="21"/>
          <w:highlight w:val="none"/>
        </w:rPr>
      </w:pPr>
      <w:r>
        <w:rPr>
          <w:rFonts w:hint="eastAsia" w:ascii="宋体" w:hAnsi="宋体"/>
          <w:color w:val="auto"/>
          <w:szCs w:val="21"/>
          <w:highlight w:val="none"/>
        </w:rPr>
        <w:t xml:space="preserve">注：</w:t>
      </w:r>
      <w:r/>
    </w:p>
    <w:p>
      <w:pPr>
        <w:spacing w:line="360" w:lineRule="auto"/>
        <w:rPr>
          <w:rFonts w:ascii="宋体" w:hAnsi="宋体"/>
          <w:color w:val="auto"/>
          <w:szCs w:val="21"/>
          <w:highlight w:val="none"/>
        </w:rPr>
      </w:pPr>
      <w:r>
        <w:rPr>
          <w:rFonts w:hint="eastAsia" w:ascii="宋体" w:hAnsi="宋体"/>
          <w:color w:val="auto"/>
          <w:szCs w:val="21"/>
          <w:highlight w:val="none"/>
        </w:rPr>
        <w:t xml:space="preserve">1、针对服务内容有必须说明的事项，请在“备注”栏目内注明；</w:t>
      </w:r>
      <w:r/>
    </w:p>
    <w:p>
      <w:pPr>
        <w:spacing w:line="360" w:lineRule="auto"/>
        <w:rPr>
          <w:rFonts w:ascii="宋体" w:hAnsi="宋体"/>
          <w:color w:val="auto"/>
          <w:szCs w:val="21"/>
          <w:highlight w:val="none"/>
        </w:rPr>
      </w:pPr>
      <w:r>
        <w:rPr>
          <w:rFonts w:hint="eastAsia" w:ascii="宋体" w:hAnsi="宋体"/>
          <w:color w:val="auto"/>
          <w:szCs w:val="21"/>
          <w:highlight w:val="none"/>
        </w:rPr>
        <w:t xml:space="preserve">2、如有其它售后服务内容，可自行参照填写。</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供应商：（单位盖章）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jc w:val="left"/>
        <w:spacing w:line="360" w:lineRule="auto"/>
        <w:rPr>
          <w:rFonts w:ascii="宋体" w:hAnsi="宋体"/>
          <w:b/>
          <w:color w:val="auto"/>
          <w:szCs w:val="28"/>
          <w:highlight w:val="none"/>
        </w:rPr>
      </w:pPr>
      <w:r>
        <w:rPr>
          <w:rFonts w:hint="eastAsia" w:ascii="宋体" w:hAnsi="宋体"/>
          <w:color w:val="auto"/>
          <w:szCs w:val="21"/>
          <w:highlight w:val="none"/>
        </w:rPr>
        <w:t xml:space="preserve">日期：</w:t>
      </w:r>
      <w:r/>
    </w:p>
    <w:p>
      <w:pPr>
        <w:pStyle w:val="942"/>
        <w:spacing w:line="360" w:lineRule="auto"/>
        <w:rPr>
          <w:rFonts w:ascii="宋体" w:hAnsi="宋体"/>
          <w:b/>
          <w:color w:val="auto"/>
          <w:sz w:val="21"/>
          <w:szCs w:val="21"/>
          <w:highlight w:val="none"/>
        </w:rPr>
        <w:outlineLvl w:val="0"/>
      </w:pPr>
      <w:r>
        <w:rPr>
          <w:rFonts w:ascii="宋体" w:hAnsi="宋体"/>
          <w:b/>
          <w:color w:val="auto"/>
          <w:sz w:val="21"/>
          <w:szCs w:val="21"/>
          <w:highlight w:val="none"/>
        </w:rPr>
        <w:br w:type="page" w:clear="all"/>
      </w:r>
      <w:r>
        <w:rPr>
          <w:rFonts w:hint="eastAsia" w:ascii="宋体" w:hAnsi="宋体"/>
          <w:b/>
          <w:color w:val="auto"/>
          <w:sz w:val="21"/>
          <w:szCs w:val="21"/>
          <w:highlight w:val="none"/>
        </w:rPr>
        <w:t xml:space="preserve">附件6</w:t>
      </w:r>
      <w:r/>
    </w:p>
    <w:p>
      <w:pPr>
        <w:rPr>
          <w:rFonts w:ascii="宋体" w:hAnsi="宋体"/>
          <w:b/>
          <w:bCs/>
          <w:color w:val="auto"/>
          <w:szCs w:val="21"/>
          <w:highlight w:val="none"/>
        </w:rPr>
      </w:pPr>
      <w:r>
        <w:rPr>
          <w:rFonts w:hint="eastAsia" w:ascii="宋体" w:hAnsi="宋体"/>
          <w:b/>
          <w:color w:val="auto"/>
          <w:szCs w:val="21"/>
          <w:highlight w:val="none"/>
        </w:rPr>
        <w:t xml:space="preserve">(1)</w:t>
      </w:r>
      <w:r>
        <w:rPr>
          <w:rFonts w:hint="eastAsia" w:ascii="宋体" w:hAnsi="宋体"/>
          <w:b/>
          <w:bCs/>
          <w:color w:val="auto"/>
          <w:szCs w:val="21"/>
          <w:highlight w:val="none"/>
        </w:rPr>
        <w:t xml:space="preserve">关于资格文件的声明函</w:t>
      </w:r>
      <w:r/>
    </w:p>
    <w:p>
      <w:pPr>
        <w:jc w:val="center"/>
        <w:rPr>
          <w:rFonts w:ascii="宋体" w:hAnsi="宋体"/>
          <w:b/>
          <w:bCs/>
          <w:color w:val="auto"/>
          <w:szCs w:val="21"/>
          <w:highlight w:val="none"/>
        </w:rPr>
      </w:pPr>
      <w:r>
        <w:rPr>
          <w:rFonts w:ascii="宋体" w:hAnsi="宋体"/>
          <w:b/>
          <w:bCs/>
          <w:color w:val="auto"/>
          <w:szCs w:val="21"/>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关于资格文件的声明函</w:t>
      </w:r>
      <w:r/>
    </w:p>
    <w:p>
      <w:pPr>
        <w:pStyle w:val="937"/>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u w:val="single"/>
        </w:rPr>
        <w:t xml:space="preserve">苏州市原鑫招投标咨询服务有限公司</w:t>
      </w:r>
      <w:r>
        <w:rPr>
          <w:rFonts w:hint="eastAsia" w:ascii="宋体" w:hAnsi="宋体" w:eastAsia="宋体"/>
          <w:color w:val="auto"/>
          <w:sz w:val="21"/>
          <w:szCs w:val="21"/>
          <w:highlight w:val="none"/>
        </w:rPr>
        <w:t xml:space="preserve">：</w:t>
      </w:r>
      <w:r/>
    </w:p>
    <w:p>
      <w:pPr>
        <w:pStyle w:val="937"/>
        <w:ind w:firstLine="658"/>
        <w:spacing w:line="5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本公司愿意就由贵公司组织实施的编号为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号的谈判采购活动进行响应。本公司所提交的响应文件中所有关于响应文件、证明和陈述均是真实的、准确的、有效的。若与真实情况不符，本公司愿意承担由此而产生的一切后果。</w:t>
      </w:r>
      <w:r/>
    </w:p>
    <w:p>
      <w:pPr>
        <w:pStyle w:val="937"/>
        <w:ind w:firstLine="378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937"/>
        <w:ind w:firstLine="378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937"/>
        <w:ind w:firstLine="378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供应商：（单位盖章）</w:t>
      </w:r>
      <w:r/>
    </w:p>
    <w:p>
      <w:pPr>
        <w:pStyle w:val="93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法定代表人或代理人（签字或盖章）：</w:t>
      </w:r>
      <w:r/>
    </w:p>
    <w:p>
      <w:pPr>
        <w:pStyle w:val="937"/>
        <w:ind w:left="3507" w:firstLine="27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ab/>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月</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ab/>
      </w:r>
      <w:r>
        <w:rPr>
          <w:rFonts w:hint="eastAsia" w:ascii="宋体" w:hAnsi="宋体" w:eastAsia="宋体"/>
          <w:color w:val="auto"/>
          <w:sz w:val="21"/>
          <w:szCs w:val="21"/>
          <w:highlight w:val="none"/>
        </w:rPr>
        <w:t xml:space="preserve">日</w:t>
      </w:r>
      <w:r/>
    </w:p>
    <w:p>
      <w:pPr>
        <w:pStyle w:val="937"/>
        <w:ind w:firstLine="0"/>
        <w:rPr>
          <w:rFonts w:ascii="宋体" w:hAnsi="宋体" w:eastAsia="宋体"/>
          <w:b/>
          <w:color w:val="auto"/>
          <w:sz w:val="21"/>
          <w:szCs w:val="21"/>
          <w:highlight w:val="none"/>
        </w:rPr>
      </w:pPr>
      <w:r>
        <w:rPr>
          <w:rFonts w:ascii="宋体" w:hAnsi="宋体" w:eastAsia="宋体"/>
          <w:color w:val="auto"/>
          <w:sz w:val="21"/>
          <w:szCs w:val="21"/>
          <w:highlight w:val="none"/>
        </w:rPr>
        <w:br w:type="page" w:clear="all"/>
      </w:r>
      <w:r>
        <w:rPr>
          <w:rFonts w:hint="eastAsia" w:ascii="宋体" w:hAnsi="宋体" w:eastAsia="宋体"/>
          <w:b/>
          <w:color w:val="auto"/>
          <w:sz w:val="21"/>
          <w:szCs w:val="21"/>
          <w:highlight w:val="none"/>
        </w:rPr>
        <w:t xml:space="preserve">(2)谈判供应商情况表</w:t>
      </w:r>
      <w:r/>
    </w:p>
    <w:p>
      <w:pPr>
        <w:pStyle w:val="937"/>
        <w:ind w:firstLine="0"/>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谈判供应商情况表</w:t>
      </w:r>
      <w:r/>
    </w:p>
    <w:p>
      <w:pPr>
        <w:pStyle w:val="937"/>
        <w:rPr>
          <w:rFonts w:ascii="宋体" w:hAnsi="宋体" w:eastAsia="宋体"/>
          <w:color w:val="auto"/>
          <w:sz w:val="21"/>
          <w:szCs w:val="21"/>
          <w:highlight w:val="none"/>
        </w:rPr>
      </w:pPr>
      <w:r>
        <w:rPr>
          <w:rFonts w:ascii="宋体" w:hAnsi="宋体" w:eastAsia="宋体"/>
          <w:color w:val="auto"/>
          <w:sz w:val="21"/>
          <w:szCs w:val="21"/>
          <w:highlight w:val="none"/>
        </w:rPr>
      </w:r>
      <w:r/>
    </w:p>
    <w:p>
      <w:pPr>
        <w:pStyle w:val="937"/>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谈判单位名称（盖章）</w:t>
      </w:r>
      <w:r/>
    </w:p>
    <w:tbl>
      <w:tblPr>
        <w:tblStyle w:val="936"/>
        <w:tblW w:w="907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850"/>
        </w:trPr>
        <w:tc>
          <w:tcPr>
            <w:tcW w:w="2552" w:type="dxa"/>
            <w:vAlign w:val="center"/>
            <w:textDirection w:val="lrTb"/>
            <w:noWrap w:val="false"/>
          </w:tcPr>
          <w:p>
            <w:pPr>
              <w:pStyle w:val="93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tcW w:w="2268" w:type="dxa"/>
            <w:vAlign w:val="center"/>
            <w:textDirection w:val="lrTb"/>
            <w:noWrap w:val="false"/>
          </w:tcPr>
          <w:p>
            <w:pPr>
              <w:pStyle w:val="93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vAlign w:val="center"/>
            <w:textDirection w:val="lrTb"/>
            <w:noWrap w:val="false"/>
          </w:tcPr>
          <w:p>
            <w:pPr>
              <w:pStyle w:val="93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tcW w:w="2694" w:type="dxa"/>
            <w:vAlign w:val="center"/>
            <w:textDirection w:val="lrTb"/>
            <w:noWrap w:val="false"/>
          </w:tcPr>
          <w:p>
            <w:pPr>
              <w:pStyle w:val="93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3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注册地址</w:t>
            </w:r>
            <w:r/>
          </w:p>
        </w:tc>
        <w:tc>
          <w:tcPr>
            <w:tcW w:w="2268" w:type="dxa"/>
            <w:vAlign w:val="center"/>
            <w:textDirection w:val="lrTb"/>
            <w:noWrap w:val="false"/>
          </w:tcPr>
          <w:p>
            <w:pPr>
              <w:pStyle w:val="93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vAlign w:val="center"/>
            <w:textDirection w:val="lrTb"/>
            <w:noWrap w:val="false"/>
          </w:tcPr>
          <w:p>
            <w:pPr>
              <w:pStyle w:val="93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注册资金</w:t>
            </w:r>
            <w:r/>
          </w:p>
        </w:tc>
        <w:tc>
          <w:tcPr>
            <w:tcW w:w="2694" w:type="dxa"/>
            <w:vAlign w:val="center"/>
            <w:textDirection w:val="lrTb"/>
            <w:noWrap w:val="false"/>
          </w:tcPr>
          <w:p>
            <w:pPr>
              <w:pStyle w:val="937"/>
              <w:ind w:firstLine="216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3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3"/>
            <w:tcW w:w="6521" w:type="dxa"/>
            <w:vAlign w:val="center"/>
            <w:textDirection w:val="lrTb"/>
            <w:noWrap w:val="false"/>
          </w:tcPr>
          <w:p>
            <w:pPr>
              <w:pStyle w:val="93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3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企业资质等级</w:t>
            </w:r>
            <w:r/>
          </w:p>
        </w:tc>
        <w:tc>
          <w:tcPr>
            <w:tcW w:w="2268" w:type="dxa"/>
            <w:vAlign w:val="center"/>
            <w:textDirection w:val="lrTb"/>
            <w:noWrap w:val="false"/>
          </w:tcPr>
          <w:p>
            <w:pPr>
              <w:pStyle w:val="93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vAlign w:val="center"/>
            <w:textDirection w:val="lrTb"/>
            <w:noWrap w:val="false"/>
          </w:tcPr>
          <w:p>
            <w:pPr>
              <w:pStyle w:val="93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员工总人数</w:t>
            </w:r>
            <w:r/>
          </w:p>
        </w:tc>
        <w:tc>
          <w:tcPr>
            <w:tcW w:w="2694" w:type="dxa"/>
            <w:vAlign w:val="center"/>
            <w:textDirection w:val="lrTb"/>
            <w:noWrap w:val="false"/>
          </w:tcPr>
          <w:p>
            <w:pPr>
              <w:pStyle w:val="93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3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2268" w:type="dxa"/>
            <w:vAlign w:val="center"/>
            <w:textDirection w:val="lrTb"/>
            <w:noWrap w:val="false"/>
          </w:tcPr>
          <w:p>
            <w:pPr>
              <w:pStyle w:val="93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c>
          <w:tcPr>
            <w:tcW w:w="1559" w:type="dxa"/>
            <w:vAlign w:val="center"/>
            <w:textDirection w:val="lrTb"/>
            <w:noWrap w:val="false"/>
          </w:tcPr>
          <w:p>
            <w:pPr>
              <w:pStyle w:val="93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营业收入</w:t>
            </w:r>
            <w:r/>
          </w:p>
        </w:tc>
        <w:tc>
          <w:tcPr>
            <w:tcW w:w="2694" w:type="dxa"/>
            <w:vAlign w:val="center"/>
            <w:textDirection w:val="lrTb"/>
            <w:noWrap w:val="false"/>
          </w:tcPr>
          <w:p>
            <w:pPr>
              <w:pStyle w:val="93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r>
      <w:tr>
        <w:trPr>
          <w:cantSplit/>
          <w:jc w:val="center"/>
          <w:trHeight w:val="850"/>
        </w:trPr>
        <w:tc>
          <w:tcPr>
            <w:tcW w:w="2552" w:type="dxa"/>
            <w:vAlign w:val="center"/>
            <w:textDirection w:val="lrTb"/>
            <w:noWrap w:val="false"/>
          </w:tcPr>
          <w:p>
            <w:pPr>
              <w:pStyle w:val="93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tcW w:w="2268" w:type="dxa"/>
            <w:vAlign w:val="center"/>
            <w:textDirection w:val="lrTb"/>
            <w:noWrap w:val="false"/>
          </w:tcPr>
          <w:p>
            <w:pPr>
              <w:pStyle w:val="93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年</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万</w:t>
            </w:r>
            <w:r>
              <w:rPr>
                <w:rFonts w:hint="eastAsia" w:ascii="宋体" w:hAnsi="宋体" w:eastAsia="宋体"/>
                <w:color w:val="auto"/>
                <w:sz w:val="21"/>
                <w:szCs w:val="21"/>
                <w:highlight w:val="none"/>
              </w:rPr>
              <w:t xml:space="preserve">元</w:t>
            </w:r>
            <w:r/>
          </w:p>
        </w:tc>
        <w:tc>
          <w:tcPr>
            <w:tcW w:w="1559" w:type="dxa"/>
            <w:vAlign w:val="center"/>
            <w:textDirection w:val="lrTb"/>
            <w:noWrap w:val="false"/>
          </w:tcPr>
          <w:p>
            <w:pPr>
              <w:pStyle w:val="93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w:t>
            </w:r>
            <w:r/>
          </w:p>
        </w:tc>
        <w:tc>
          <w:tcPr>
            <w:tcW w:w="2694" w:type="dxa"/>
            <w:vAlign w:val="center"/>
            <w:textDirection w:val="lrTb"/>
            <w:noWrap w:val="false"/>
          </w:tcPr>
          <w:p>
            <w:pPr>
              <w:pStyle w:val="937"/>
              <w:ind w:firstLine="0"/>
              <w:jc w:val="both"/>
              <w:rPr>
                <w:rFonts w:ascii="宋体" w:hAnsi="宋体" w:eastAsia="宋体"/>
                <w:color w:val="auto"/>
                <w:sz w:val="21"/>
                <w:szCs w:val="21"/>
                <w:highlight w:val="none"/>
              </w:rPr>
            </w:pP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平方米</w:t>
            </w:r>
            <w:r/>
          </w:p>
        </w:tc>
      </w:tr>
      <w:tr>
        <w:trPr>
          <w:cantSplit/>
          <w:jc w:val="center"/>
          <w:trHeight w:val="850"/>
        </w:trPr>
        <w:tc>
          <w:tcPr>
            <w:tcW w:w="2552" w:type="dxa"/>
            <w:vAlign w:val="center"/>
            <w:textDirection w:val="lrTb"/>
            <w:noWrap w:val="false"/>
          </w:tcPr>
          <w:p>
            <w:pPr>
              <w:pStyle w:val="93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tc>
        <w:tc>
          <w:tcPr>
            <w:gridSpan w:val="3"/>
            <w:tcW w:w="6521" w:type="dxa"/>
            <w:vAlign w:val="center"/>
            <w:textDirection w:val="lrTb"/>
            <w:noWrap w:val="false"/>
          </w:tcPr>
          <w:p>
            <w:pPr>
              <w:pStyle w:val="93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3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tc>
        <w:tc>
          <w:tcPr>
            <w:gridSpan w:val="3"/>
            <w:tcW w:w="6521" w:type="dxa"/>
            <w:vAlign w:val="center"/>
            <w:textDirection w:val="lrTb"/>
            <w:noWrap w:val="false"/>
          </w:tcPr>
          <w:p>
            <w:pPr>
              <w:pStyle w:val="93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3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商业信誉和健全的财务会计制度介绍</w:t>
            </w:r>
            <w:r/>
          </w:p>
        </w:tc>
        <w:tc>
          <w:tcPr>
            <w:gridSpan w:val="3"/>
            <w:tcW w:w="6521" w:type="dxa"/>
            <w:vAlign w:val="center"/>
            <w:textDirection w:val="lrTb"/>
            <w:noWrap w:val="false"/>
          </w:tcPr>
          <w:p>
            <w:pPr>
              <w:pStyle w:val="93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3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履行合同所必需的设备和专业技术能力情况</w:t>
            </w:r>
            <w:r/>
          </w:p>
        </w:tc>
        <w:tc>
          <w:tcPr>
            <w:gridSpan w:val="3"/>
            <w:tcW w:w="6521" w:type="dxa"/>
            <w:vAlign w:val="center"/>
            <w:textDirection w:val="lrTb"/>
            <w:noWrap w:val="false"/>
          </w:tcPr>
          <w:p>
            <w:pPr>
              <w:pStyle w:val="93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3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依法缴纳税收和社会保障资金情况</w:t>
            </w:r>
            <w:r/>
          </w:p>
        </w:tc>
        <w:tc>
          <w:tcPr>
            <w:gridSpan w:val="3"/>
            <w:tcW w:w="6521" w:type="dxa"/>
            <w:vAlign w:val="center"/>
            <w:textDirection w:val="lrTb"/>
            <w:noWrap w:val="false"/>
          </w:tcPr>
          <w:p>
            <w:pPr>
              <w:pStyle w:val="93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3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t xml:space="preserve">参加政府采购活动前三年内，在经营活动中</w:t>
            </w:r>
            <w:r>
              <w:rPr>
                <w:rFonts w:hint="eastAsia" w:ascii="宋体" w:hAnsi="宋体" w:eastAsia="宋体"/>
                <w:color w:val="auto"/>
                <w:sz w:val="21"/>
                <w:szCs w:val="21"/>
                <w:highlight w:val="none"/>
              </w:rPr>
              <w:t xml:space="preserve">有无</w:t>
            </w:r>
            <w:r>
              <w:rPr>
                <w:rFonts w:ascii="宋体" w:hAnsi="宋体" w:eastAsia="宋体"/>
                <w:color w:val="auto"/>
                <w:sz w:val="21"/>
                <w:szCs w:val="21"/>
                <w:highlight w:val="none"/>
              </w:rPr>
              <w:t xml:space="preserve">重大违法记录</w:t>
            </w:r>
            <w:r/>
          </w:p>
        </w:tc>
        <w:tc>
          <w:tcPr>
            <w:gridSpan w:val="3"/>
            <w:tcW w:w="6521" w:type="dxa"/>
            <w:vAlign w:val="center"/>
            <w:textDirection w:val="lrTb"/>
            <w:noWrap w:val="false"/>
          </w:tcPr>
          <w:p>
            <w:pPr>
              <w:pStyle w:val="93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37"/>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3"/>
            <w:tcW w:w="6521" w:type="dxa"/>
            <w:vAlign w:val="center"/>
            <w:textDirection w:val="lrTb"/>
            <w:noWrap w:val="false"/>
          </w:tcPr>
          <w:p>
            <w:pPr>
              <w:pStyle w:val="93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3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单位开票资料</w:t>
            </w:r>
            <w:r/>
          </w:p>
          <w:p>
            <w:pPr>
              <w:pStyle w:val="93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数字人民币账户</w:t>
            </w:r>
            <w:r/>
          </w:p>
        </w:tc>
        <w:tc>
          <w:tcPr>
            <w:gridSpan w:val="3"/>
            <w:tcW w:w="6521" w:type="dxa"/>
            <w:vAlign w:val="center"/>
            <w:textDirection w:val="lrTb"/>
            <w:noWrap w:val="false"/>
          </w:tcPr>
          <w:p>
            <w:pPr>
              <w:pStyle w:val="937"/>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rPr>
          <w:rFonts w:ascii="宋体" w:hAnsi="宋体"/>
          <w:color w:val="auto"/>
          <w:highlight w:val="none"/>
        </w:rPr>
      </w:pPr>
      <w:r>
        <w:rPr>
          <w:rFonts w:ascii="宋体" w:hAnsi="宋体"/>
          <w:color w:val="auto"/>
          <w:highlight w:val="none"/>
        </w:rPr>
      </w:r>
      <w:r/>
    </w:p>
    <w:p>
      <w:pPr>
        <w:rPr>
          <w:rFonts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（3）中小企业声明函</w:t>
      </w:r>
      <w:r/>
    </w:p>
    <w:p>
      <w:pPr>
        <w:jc w:val="center"/>
        <w:spacing w:line="360" w:lineRule="auto"/>
        <w:rPr>
          <w:rFonts w:cs="宋体"/>
          <w:b/>
          <w:bCs/>
          <w:color w:val="auto"/>
          <w:szCs w:val="21"/>
          <w:highlight w:val="none"/>
        </w:rPr>
      </w:pPr>
      <w:r>
        <w:rPr>
          <w:rFonts w:cs="宋体"/>
          <w:b/>
          <w:bCs/>
          <w:color w:val="auto"/>
          <w:szCs w:val="21"/>
          <w:highlight w:val="none"/>
        </w:rPr>
      </w:r>
      <w:r/>
    </w:p>
    <w:p>
      <w:pPr>
        <w:jc w:val="center"/>
        <w:spacing w:line="360" w:lineRule="auto"/>
        <w:rPr>
          <w:rFonts w:cs="宋体"/>
          <w:b/>
          <w:bCs/>
          <w:color w:val="auto"/>
          <w:szCs w:val="21"/>
          <w:highlight w:val="none"/>
        </w:rPr>
      </w:pPr>
      <w:r>
        <w:rPr>
          <w:rFonts w:hint="eastAsia" w:cs="宋体"/>
          <w:b/>
          <w:bCs/>
          <w:color w:val="auto"/>
          <w:szCs w:val="21"/>
          <w:highlight w:val="none"/>
        </w:rPr>
        <w:t xml:space="preserve">中小企业声明函（货物）</w:t>
      </w:r>
      <w:r/>
    </w:p>
    <w:p>
      <w:pPr>
        <w:jc w:val="center"/>
        <w:spacing w:line="360" w:lineRule="auto"/>
        <w:rPr>
          <w:rFonts w:cs="宋体"/>
          <w:b/>
          <w:bCs/>
          <w:color w:val="auto"/>
          <w:szCs w:val="21"/>
          <w:highlight w:val="none"/>
        </w:rPr>
      </w:pPr>
      <w:r>
        <w:rPr>
          <w:rFonts w:cs="宋体"/>
          <w:b/>
          <w:bCs/>
          <w:color w:val="auto"/>
          <w:szCs w:val="21"/>
          <w:highlight w:val="none"/>
        </w:rPr>
      </w:r>
      <w:r/>
    </w:p>
    <w:p>
      <w:pPr>
        <w:contextualSpacing/>
        <w:ind w:firstLine="420"/>
        <w:spacing w:line="360" w:lineRule="auto"/>
        <w:rPr>
          <w:rFonts w:cs="宋体"/>
          <w:color w:val="auto"/>
          <w:szCs w:val="21"/>
          <w:highlight w:val="none"/>
        </w:rPr>
      </w:pPr>
      <w:r>
        <w:rPr>
          <w:rFonts w:hint="eastAsia" w:cs="宋体"/>
          <w:color w:val="auto"/>
          <w:szCs w:val="21"/>
          <w:highlight w:val="none"/>
        </w:rPr>
        <w:t xml:space="preserve">本公司郑重声明，根据《政府采购促进中小企业发展管理办法》（财库﹝2020﹞46 号）的规定，本公司参加</w:t>
      </w:r>
      <w:r>
        <w:rPr>
          <w:rFonts w:hint="eastAsia" w:cs="宋体"/>
          <w:color w:val="auto"/>
          <w:szCs w:val="21"/>
          <w:highlight w:val="none"/>
          <w:u w:val="single"/>
        </w:rPr>
        <w:t xml:space="preserve">（单位名称）</w:t>
      </w:r>
      <w:r>
        <w:rPr>
          <w:rFonts w:hint="eastAsia" w:cs="宋体"/>
          <w:color w:val="auto"/>
          <w:szCs w:val="21"/>
          <w:highlight w:val="none"/>
        </w:rPr>
        <w:t xml:space="preserve">的</w:t>
      </w:r>
      <w:r>
        <w:rPr>
          <w:rFonts w:hint="eastAsia" w:cs="宋体"/>
          <w:color w:val="auto"/>
          <w:szCs w:val="21"/>
          <w:highlight w:val="none"/>
          <w:u w:val="single"/>
        </w:rPr>
        <w:t xml:space="preserve">（项目名称）</w:t>
      </w:r>
      <w:r>
        <w:rPr>
          <w:rFonts w:hint="eastAsia" w:cs="宋体"/>
          <w:color w:val="auto"/>
          <w:szCs w:val="21"/>
          <w:highlight w:val="none"/>
        </w:rPr>
        <w:t xml:space="preserve">采购活动，</w:t>
      </w:r>
      <w:bookmarkStart w:id="4" w:name="OLE_LINK1"/>
      <w:r>
        <w:rPr>
          <w:rFonts w:hint="eastAsia" w:cs="宋体"/>
          <w:color w:val="auto"/>
          <w:szCs w:val="21"/>
          <w:highlight w:val="none"/>
        </w:rPr>
        <w:t xml:space="preserve">提供的货物全部由符合政策要求的中小企业制造</w:t>
      </w:r>
      <w:bookmarkEnd w:id="4"/>
      <w:r>
        <w:rPr>
          <w:rFonts w:hint="eastAsia" w:cs="宋体"/>
          <w:color w:val="auto"/>
          <w:szCs w:val="21"/>
          <w:highlight w:val="none"/>
        </w:rPr>
        <w:t xml:space="preserve">。相关企业的具体情况如下： </w:t>
      </w:r>
      <w:r/>
    </w:p>
    <w:p>
      <w:pPr>
        <w:numPr>
          <w:ilvl w:val="0"/>
          <w:numId w:val="35"/>
        </w:numPr>
        <w:contextualSpacing/>
        <w:ind w:firstLine="420"/>
        <w:spacing w:line="360" w:lineRule="auto"/>
        <w:rPr>
          <w:rFonts w:cs="宋体"/>
          <w:color w:val="auto"/>
          <w:szCs w:val="21"/>
          <w:highlight w:val="none"/>
        </w:rPr>
      </w:pPr>
      <w:r>
        <w:rPr>
          <w:rFonts w:hint="eastAsia" w:cs="宋体"/>
          <w:color w:val="auto"/>
          <w:szCs w:val="21"/>
          <w:highlight w:val="none"/>
          <w:u w:val="single"/>
        </w:rPr>
        <w:t xml:space="preserve">（标的名称）</w:t>
      </w:r>
      <w:r>
        <w:rPr>
          <w:rFonts w:hint="eastAsia" w:cs="宋体"/>
          <w:color w:val="auto"/>
          <w:szCs w:val="21"/>
          <w:highlight w:val="none"/>
        </w:rPr>
        <w:t xml:space="preserve">，属于</w:t>
      </w:r>
      <w:r>
        <w:rPr>
          <w:rFonts w:hint="eastAsia" w:cs="宋体"/>
          <w:color w:val="auto"/>
          <w:szCs w:val="21"/>
          <w:highlight w:val="none"/>
          <w:u w:val="single"/>
        </w:rPr>
        <w:t xml:space="preserve"> 工业 </w:t>
      </w:r>
      <w:r>
        <w:rPr>
          <w:rFonts w:hint="eastAsia" w:cs="宋体"/>
          <w:color w:val="auto"/>
          <w:szCs w:val="21"/>
          <w:highlight w:val="none"/>
        </w:rPr>
        <w:t xml:space="preserve">；制造商为</w:t>
      </w:r>
      <w:r>
        <w:rPr>
          <w:rFonts w:hint="eastAsia" w:cs="宋体"/>
          <w:color w:val="auto"/>
          <w:szCs w:val="21"/>
          <w:highlight w:val="none"/>
          <w:u w:val="single"/>
        </w:rPr>
        <w:t xml:space="preserve">（企业名称）</w:t>
      </w:r>
      <w:r>
        <w:rPr>
          <w:rFonts w:hint="eastAsia" w:cs="宋体"/>
          <w:color w:val="auto"/>
          <w:szCs w:val="21"/>
          <w:highlight w:val="none"/>
        </w:rPr>
        <w:t xml:space="preserve">，从业人员</w:t>
      </w:r>
      <w:r>
        <w:rPr>
          <w:rFonts w:hint="eastAsia" w:cs="宋体"/>
          <w:color w:val="auto"/>
          <w:szCs w:val="21"/>
          <w:highlight w:val="none"/>
          <w:u w:val="single"/>
        </w:rPr>
        <w:t xml:space="preserve">   </w:t>
      </w:r>
      <w:r>
        <w:rPr>
          <w:rFonts w:hint="eastAsia" w:cs="宋体"/>
          <w:color w:val="auto"/>
          <w:szCs w:val="21"/>
          <w:highlight w:val="none"/>
        </w:rPr>
        <w:t xml:space="preserve">人，营业收入为</w:t>
      </w:r>
      <w:r>
        <w:rPr>
          <w:rFonts w:hint="eastAsia" w:cs="宋体"/>
          <w:color w:val="auto"/>
          <w:szCs w:val="21"/>
          <w:highlight w:val="none"/>
          <w:u w:val="single"/>
        </w:rPr>
        <w:t xml:space="preserve">   </w:t>
      </w:r>
      <w:r>
        <w:rPr>
          <w:rFonts w:hint="eastAsia" w:cs="宋体"/>
          <w:color w:val="auto"/>
          <w:szCs w:val="21"/>
          <w:highlight w:val="none"/>
        </w:rPr>
        <w:t xml:space="preserve">万元，资产总额为</w:t>
      </w:r>
      <w:r>
        <w:rPr>
          <w:rFonts w:hint="eastAsia" w:cs="宋体"/>
          <w:color w:val="auto"/>
          <w:szCs w:val="21"/>
          <w:highlight w:val="none"/>
          <w:u w:val="single"/>
        </w:rPr>
        <w:t xml:space="preserve">    </w:t>
      </w:r>
      <w:r>
        <w:rPr>
          <w:rFonts w:hint="eastAsia" w:cs="宋体"/>
          <w:color w:val="auto"/>
          <w:szCs w:val="21"/>
          <w:highlight w:val="none"/>
        </w:rPr>
        <w:t xml:space="preserve">万元，属于</w:t>
      </w:r>
      <w:r>
        <w:rPr>
          <w:rFonts w:hint="eastAsia" w:cs="宋体"/>
          <w:color w:val="auto"/>
          <w:szCs w:val="21"/>
          <w:highlight w:val="none"/>
          <w:u w:val="single"/>
        </w:rPr>
        <w:t xml:space="preserve">（中型企业、小型企业、微型企业）【选择一类填写】</w:t>
      </w:r>
      <w:r>
        <w:rPr>
          <w:rFonts w:hint="eastAsia" w:cs="宋体"/>
          <w:color w:val="auto"/>
          <w:szCs w:val="21"/>
          <w:highlight w:val="none"/>
        </w:rPr>
        <w:t xml:space="preserve">； </w:t>
      </w:r>
      <w:r/>
    </w:p>
    <w:p>
      <w:pPr>
        <w:numPr>
          <w:ilvl w:val="0"/>
          <w:numId w:val="35"/>
        </w:numPr>
        <w:contextualSpacing/>
        <w:ind w:firstLine="420"/>
        <w:spacing w:line="360" w:lineRule="auto"/>
        <w:rPr>
          <w:rFonts w:cs="宋体"/>
          <w:color w:val="auto"/>
          <w:szCs w:val="21"/>
          <w:highlight w:val="none"/>
        </w:rPr>
      </w:pPr>
      <w:r>
        <w:rPr>
          <w:rFonts w:hint="eastAsia" w:cs="宋体"/>
          <w:color w:val="auto"/>
          <w:szCs w:val="21"/>
          <w:highlight w:val="none"/>
          <w:u w:val="single"/>
        </w:rPr>
        <w:t xml:space="preserve">（标的名称）</w:t>
      </w:r>
      <w:r>
        <w:rPr>
          <w:rFonts w:hint="eastAsia" w:cs="宋体"/>
          <w:color w:val="auto"/>
          <w:szCs w:val="21"/>
          <w:highlight w:val="none"/>
        </w:rPr>
        <w:t xml:space="preserve">，属于</w:t>
      </w:r>
      <w:r>
        <w:rPr>
          <w:rFonts w:hint="eastAsia" w:cs="宋体"/>
          <w:color w:val="auto"/>
          <w:szCs w:val="21"/>
          <w:highlight w:val="none"/>
          <w:u w:val="single"/>
        </w:rPr>
        <w:t xml:space="preserve"> 工业 </w:t>
      </w:r>
      <w:r>
        <w:rPr>
          <w:rFonts w:hint="eastAsia" w:cs="宋体"/>
          <w:color w:val="auto"/>
          <w:szCs w:val="21"/>
          <w:highlight w:val="none"/>
        </w:rPr>
        <w:t xml:space="preserve">；制造商为</w:t>
      </w:r>
      <w:r>
        <w:rPr>
          <w:rFonts w:hint="eastAsia" w:cs="宋体"/>
          <w:color w:val="auto"/>
          <w:szCs w:val="21"/>
          <w:highlight w:val="none"/>
          <w:u w:val="single"/>
        </w:rPr>
        <w:t xml:space="preserve">（企业名称）</w:t>
      </w:r>
      <w:r>
        <w:rPr>
          <w:rFonts w:hint="eastAsia" w:cs="宋体"/>
          <w:color w:val="auto"/>
          <w:szCs w:val="21"/>
          <w:highlight w:val="none"/>
        </w:rPr>
        <w:t xml:space="preserve">，从业人员</w:t>
      </w:r>
      <w:r>
        <w:rPr>
          <w:rFonts w:hint="eastAsia" w:cs="宋体"/>
          <w:color w:val="auto"/>
          <w:szCs w:val="21"/>
          <w:highlight w:val="none"/>
          <w:u w:val="single"/>
        </w:rPr>
        <w:t xml:space="preserve">   </w:t>
      </w:r>
      <w:r>
        <w:rPr>
          <w:rFonts w:hint="eastAsia" w:cs="宋体"/>
          <w:color w:val="auto"/>
          <w:szCs w:val="21"/>
          <w:highlight w:val="none"/>
        </w:rPr>
        <w:t xml:space="preserve">人，营业收入为</w:t>
      </w:r>
      <w:r>
        <w:rPr>
          <w:rFonts w:hint="eastAsia" w:cs="宋体"/>
          <w:color w:val="auto"/>
          <w:szCs w:val="21"/>
          <w:highlight w:val="none"/>
          <w:u w:val="single"/>
        </w:rPr>
        <w:t xml:space="preserve">   </w:t>
      </w:r>
      <w:r>
        <w:rPr>
          <w:rFonts w:hint="eastAsia" w:cs="宋体"/>
          <w:color w:val="auto"/>
          <w:szCs w:val="21"/>
          <w:highlight w:val="none"/>
        </w:rPr>
        <w:t xml:space="preserve">万元，资产总额为</w:t>
      </w:r>
      <w:r>
        <w:rPr>
          <w:rFonts w:hint="eastAsia" w:cs="宋体"/>
          <w:color w:val="auto"/>
          <w:szCs w:val="21"/>
          <w:highlight w:val="none"/>
          <w:u w:val="single"/>
        </w:rPr>
        <w:t xml:space="preserve">    </w:t>
      </w:r>
      <w:r>
        <w:rPr>
          <w:rFonts w:hint="eastAsia" w:cs="宋体"/>
          <w:color w:val="auto"/>
          <w:szCs w:val="21"/>
          <w:highlight w:val="none"/>
        </w:rPr>
        <w:t xml:space="preserve">万元，属于</w:t>
      </w:r>
      <w:r>
        <w:rPr>
          <w:rFonts w:hint="eastAsia" w:cs="宋体"/>
          <w:color w:val="auto"/>
          <w:szCs w:val="21"/>
          <w:highlight w:val="none"/>
          <w:u w:val="single"/>
        </w:rPr>
        <w:t xml:space="preserve">（中型企业、小型企业、微型企业）【选择一类填写】</w:t>
      </w:r>
      <w:r>
        <w:rPr>
          <w:rFonts w:hint="eastAsia" w:cs="宋体"/>
          <w:color w:val="auto"/>
          <w:szCs w:val="21"/>
          <w:highlight w:val="none"/>
        </w:rPr>
        <w:t xml:space="preserve">； </w:t>
      </w:r>
      <w:r/>
    </w:p>
    <w:p>
      <w:pPr>
        <w:numPr>
          <w:ilvl w:val="0"/>
          <w:numId w:val="35"/>
        </w:numPr>
        <w:contextualSpacing/>
        <w:ind w:firstLine="420"/>
        <w:spacing w:line="360" w:lineRule="auto"/>
        <w:rPr>
          <w:rFonts w:cs="宋体"/>
          <w:color w:val="auto"/>
          <w:szCs w:val="21"/>
          <w:highlight w:val="none"/>
        </w:rPr>
      </w:pPr>
      <w:r>
        <w:rPr>
          <w:rFonts w:hint="eastAsia" w:cs="宋体"/>
          <w:color w:val="auto"/>
          <w:szCs w:val="21"/>
          <w:highlight w:val="none"/>
        </w:rPr>
        <w:t xml:space="preserve">……</w:t>
      </w:r>
      <w:r/>
    </w:p>
    <w:p>
      <w:pPr>
        <w:contextualSpacing/>
        <w:ind w:firstLine="420"/>
        <w:spacing w:line="360" w:lineRule="auto"/>
        <w:rPr>
          <w:rFonts w:cs="宋体"/>
          <w:color w:val="auto"/>
          <w:szCs w:val="21"/>
          <w:highlight w:val="none"/>
        </w:rPr>
      </w:pPr>
      <w:r>
        <w:rPr>
          <w:rFonts w:hint="eastAsia" w:cs="宋体"/>
          <w:color w:val="auto"/>
          <w:szCs w:val="21"/>
          <w:highlight w:val="none"/>
        </w:rPr>
        <w:t xml:space="preserve"> 以上企业，不属于大企业的分支机构，不存在控股股东为大企业的情形，也不存在与大企业的负责人为同一人的情形。 本企业对上述声明内容的真实性负责。如有虚假，将依法承担相应责任。 </w:t>
      </w:r>
      <w:r/>
    </w:p>
    <w:p>
      <w:pPr>
        <w:contextualSpacing/>
        <w:ind w:firstLine="5880"/>
        <w:spacing w:line="360" w:lineRule="auto"/>
        <w:rPr>
          <w:rFonts w:cs="宋体"/>
          <w:color w:val="auto"/>
          <w:szCs w:val="21"/>
          <w:highlight w:val="none"/>
        </w:rPr>
      </w:pPr>
      <w:r>
        <w:rPr>
          <w:rFonts w:hint="eastAsia" w:cs="宋体"/>
          <w:color w:val="auto"/>
          <w:szCs w:val="21"/>
          <w:highlight w:val="none"/>
        </w:rPr>
        <w:t xml:space="preserve">企业名称（盖章）： </w:t>
      </w:r>
      <w:r/>
    </w:p>
    <w:p>
      <w:pPr>
        <w:contextualSpacing/>
        <w:ind w:firstLine="6930"/>
        <w:spacing w:line="360" w:lineRule="auto"/>
        <w:rPr>
          <w:color w:val="auto"/>
          <w:szCs w:val="21"/>
          <w:highlight w:val="none"/>
        </w:rPr>
      </w:pPr>
      <w:r>
        <w:rPr>
          <w:rFonts w:hint="eastAsia" w:cs="宋体"/>
          <w:color w:val="auto"/>
          <w:szCs w:val="21"/>
          <w:highlight w:val="none"/>
        </w:rPr>
        <w:t xml:space="preserve">日 期：</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rPr>
          <w:rFonts w:ascii="宋体" w:hAnsi="宋体"/>
          <w:b/>
          <w:color w:val="auto"/>
          <w:highlight w:val="none"/>
        </w:rPr>
      </w:pPr>
      <w:r/>
      <w:bookmarkStart w:id="5" w:name="OLE_LINK13"/>
      <w:r/>
      <w:bookmarkStart w:id="6" w:name="OLE_LINK14"/>
      <w:r>
        <w:rPr>
          <w:rFonts w:hint="eastAsia" w:ascii="宋体" w:hAnsi="宋体"/>
          <w:b/>
          <w:color w:val="auto"/>
          <w:highlight w:val="none"/>
        </w:rPr>
        <w:br w:type="page" w:clear="all"/>
      </w:r>
      <w:r/>
    </w:p>
    <w:p>
      <w:pPr>
        <w:ind w:firstLine="211"/>
        <w:spacing w:before="156" w:line="240" w:lineRule="exact"/>
        <w:rPr>
          <w:rFonts w:ascii="宋体" w:hAnsi="宋体"/>
          <w:b/>
          <w:color w:val="auto"/>
          <w:highlight w:val="none"/>
        </w:rPr>
      </w:pPr>
      <w:r>
        <w:rPr>
          <w:rFonts w:hint="eastAsia" w:ascii="宋体" w:hAnsi="宋体"/>
          <w:b/>
          <w:color w:val="auto"/>
          <w:highlight w:val="none"/>
        </w:rPr>
        <w:t xml:space="preserve">附：中小企业划型标准规定（工信部联企业〔2011〕300号）</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firstLine="210"/>
        <w:spacing w:before="156" w:line="240" w:lineRule="exact"/>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rPr>
          <w:rFonts w:ascii="宋体" w:hAnsi="宋体"/>
          <w:b/>
          <w:color w:val="auto"/>
          <w:szCs w:val="21"/>
          <w:highlight w:val="none"/>
        </w:rPr>
      </w:pPr>
      <w:r>
        <w:rPr>
          <w:rFonts w:ascii="宋体" w:hAnsi="宋体"/>
          <w:b/>
          <w:color w:val="auto"/>
          <w:szCs w:val="21"/>
          <w:highlight w:val="none"/>
        </w:rPr>
        <w:br w:type="page" w:clear="all"/>
      </w:r>
      <w:r>
        <w:rPr>
          <w:rFonts w:hint="eastAsia" w:ascii="宋体" w:hAnsi="宋体"/>
          <w:b/>
          <w:color w:val="auto"/>
          <w:szCs w:val="21"/>
          <w:highlight w:val="none"/>
        </w:rPr>
        <w:t xml:space="preserve">（4）残疾人福利性单位声明函</w:t>
      </w:r>
      <w:r/>
    </w:p>
    <w:p>
      <w:pPr>
        <w:jc w:val="center"/>
        <w:rPr>
          <w:rFonts w:ascii="宋体" w:hAnsi="宋体"/>
          <w:b/>
          <w:color w:val="auto"/>
          <w:sz w:val="28"/>
          <w:szCs w:val="28"/>
          <w:highlight w:val="none"/>
        </w:rPr>
      </w:pPr>
      <w:r>
        <w:rPr>
          <w:rFonts w:ascii="宋体" w:hAnsi="宋体"/>
          <w:b/>
          <w:color w:val="auto"/>
          <w:sz w:val="28"/>
          <w:szCs w:val="28"/>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残疾人福利性单位声明函</w:t>
      </w:r>
      <w:bookmarkEnd w:id="5"/>
      <w:r/>
      <w:bookmarkEnd w:id="6"/>
      <w:r/>
      <w:r/>
    </w:p>
    <w:p>
      <w:pPr>
        <w:ind w:firstLine="444"/>
        <w:spacing w:line="580" w:lineRule="exact"/>
        <w:rPr>
          <w:rFonts w:ascii="宋体" w:hAnsi="宋体"/>
          <w:color w:val="auto"/>
          <w:spacing w:val="6"/>
          <w:szCs w:val="21"/>
          <w:highlight w:val="none"/>
        </w:rPr>
      </w:pPr>
      <w:r>
        <w:rPr>
          <w:rFonts w:hint="eastAsia" w:ascii="宋体" w:hAnsi="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olor w:val="auto"/>
          <w:szCs w:val="21"/>
          <w:highlight w:val="none"/>
        </w:rPr>
        <w:t xml:space="preserve">〔2017〕141</w:t>
      </w:r>
      <w:r>
        <w:rPr>
          <w:rFonts w:hint="eastAsia" w:ascii="宋体" w:hAnsi="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auto"/>
          <w:spacing w:val="6"/>
          <w:szCs w:val="21"/>
          <w:highlight w:val="none"/>
        </w:rPr>
      </w:pPr>
      <w:r>
        <w:rPr>
          <w:rFonts w:hint="eastAsia" w:ascii="宋体" w:hAnsi="宋体"/>
          <w:color w:val="auto"/>
          <w:spacing w:val="6"/>
          <w:szCs w:val="21"/>
          <w:highlight w:val="none"/>
        </w:rPr>
        <w:t xml:space="preserve">本单位对上述声明的真实性负责。如有虚假，将依法承担相应责任。</w:t>
      </w:r>
      <w:r/>
    </w:p>
    <w:p>
      <w:pPr>
        <w:ind w:right="1560" w:firstLine="444"/>
        <w:jc w:val="center"/>
        <w:spacing w:line="580" w:lineRule="exact"/>
        <w:tabs>
          <w:tab w:val="left" w:pos="4860" w:leader="none"/>
        </w:tabs>
        <w:rPr>
          <w:rFonts w:ascii="宋体" w:hAnsi="宋体"/>
          <w:color w:val="auto"/>
          <w:spacing w:val="6"/>
          <w:szCs w:val="21"/>
          <w:highlight w:val="none"/>
        </w:rPr>
      </w:pPr>
      <w:r>
        <w:rPr>
          <w:rFonts w:hint="eastAsia" w:ascii="宋体" w:hAnsi="宋体"/>
          <w:color w:val="auto"/>
          <w:spacing w:val="6"/>
          <w:szCs w:val="21"/>
          <w:highlight w:val="none"/>
        </w:rPr>
        <w:t xml:space="preserve">                    单位名称（盖章）：</w:t>
      </w:r>
      <w:r/>
    </w:p>
    <w:p>
      <w:pPr>
        <w:spacing w:line="360" w:lineRule="auto"/>
        <w:rPr>
          <w:rFonts w:ascii="宋体" w:hAnsi="宋体"/>
          <w:color w:val="auto"/>
          <w:spacing w:val="6"/>
          <w:szCs w:val="21"/>
          <w:highlight w:val="none"/>
        </w:rPr>
      </w:pPr>
      <w:r>
        <w:rPr>
          <w:rFonts w:hint="eastAsia" w:ascii="宋体" w:hAnsi="宋体"/>
          <w:color w:val="auto"/>
          <w:spacing w:val="6"/>
          <w:szCs w:val="21"/>
          <w:highlight w:val="none"/>
        </w:rPr>
        <w:t xml:space="preserve">                                       日  期：</w:t>
      </w:r>
      <w:r/>
    </w:p>
    <w:p>
      <w:pPr>
        <w:rPr>
          <w:rFonts w:ascii="宋体" w:hAnsi="宋体"/>
          <w:b/>
          <w:color w:val="auto"/>
          <w:highlight w:val="none"/>
        </w:rPr>
      </w:pPr>
      <w:r>
        <w:rPr>
          <w:rFonts w:ascii="宋体" w:hAnsi="宋体"/>
          <w:color w:val="auto"/>
          <w:spacing w:val="6"/>
          <w:szCs w:val="21"/>
          <w:highlight w:val="none"/>
        </w:rPr>
        <w:br w:type="page" w:clear="all"/>
      </w:r>
      <w:r>
        <w:rPr>
          <w:rFonts w:hint="eastAsia" w:ascii="宋体" w:hAnsi="宋体"/>
          <w:b/>
          <w:color w:val="auto"/>
          <w:highlight w:val="none"/>
        </w:rPr>
        <w:t xml:space="preserve">附件7、投标（响应）保证承诺书</w:t>
      </w:r>
      <w:r/>
    </w:p>
    <w:p>
      <w:pPr>
        <w:jc w:val="center"/>
        <w:spacing w:line="48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投标（响应）保证承诺书</w:t>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20"/>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numPr>
          <w:ilvl w:val="0"/>
          <w:numId w:val="36"/>
        </w:numPr>
        <w:ind w:left="431" w:hanging="431"/>
        <w:jc w:val="left"/>
        <w:spacing w:line="520" w:lineRule="exact"/>
        <w:widowControl/>
        <w:tabs>
          <w:tab w:val="left" w:pos="426" w:leader="none"/>
        </w:tabs>
        <w:rPr>
          <w:rFonts w:ascii="宋体" w:hAnsi="宋体" w:cs="宋体"/>
          <w:color w:val="auto"/>
          <w:szCs w:val="21"/>
          <w:highlight w:val="none"/>
        </w:rPr>
      </w:pPr>
      <w:r>
        <w:rPr>
          <w:rFonts w:hint="eastAsia" w:ascii="宋体" w:hAnsi="宋体" w:cs="宋体"/>
          <w:color w:val="auto"/>
          <w:szCs w:val="21"/>
          <w:highlight w:val="none"/>
        </w:rPr>
        <w:t xml:space="preserve">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numPr>
          <w:ilvl w:val="0"/>
          <w:numId w:val="37"/>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自投标（响应）截止时间至本项目发布中标（成交）公告为止，撤销投标（响应）；</w:t>
      </w:r>
      <w:r/>
    </w:p>
    <w:p>
      <w:pPr>
        <w:numPr>
          <w:ilvl w:val="0"/>
          <w:numId w:val="37"/>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中标（成交）后不依法与采购人签订合同；</w:t>
      </w:r>
      <w:r/>
    </w:p>
    <w:p>
      <w:pPr>
        <w:numPr>
          <w:ilvl w:val="0"/>
          <w:numId w:val="37"/>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中标（成交）后不按本采购文件规定向采购人提交履约保证金；</w:t>
      </w:r>
      <w:r/>
    </w:p>
    <w:p>
      <w:pPr>
        <w:numPr>
          <w:ilvl w:val="0"/>
          <w:numId w:val="37"/>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中标（成交）后不按本采购文件规定向贵方缴纳采购代理费。</w:t>
      </w:r>
      <w:r/>
    </w:p>
    <w:p>
      <w:pPr>
        <w:numPr>
          <w:ilvl w:val="0"/>
          <w:numId w:val="36"/>
        </w:numPr>
        <w:ind w:left="431" w:hanging="431"/>
        <w:jc w:val="left"/>
        <w:spacing w:line="520" w:lineRule="exact"/>
        <w:widowControl/>
        <w:tabs>
          <w:tab w:val="left" w:pos="426" w:leader="none"/>
        </w:tabs>
        <w:rPr>
          <w:rFonts w:ascii="宋体" w:hAnsi="宋体" w:cs="宋体"/>
          <w:color w:val="auto"/>
          <w:szCs w:val="21"/>
          <w:highlight w:val="none"/>
        </w:rPr>
      </w:pPr>
      <w:r>
        <w:rPr>
          <w:rFonts w:hint="eastAsia" w:ascii="宋体" w:hAnsi="宋体" w:cs="宋体"/>
          <w:color w:val="auto"/>
          <w:szCs w:val="21"/>
          <w:highlight w:val="none"/>
        </w:rPr>
        <w:t xml:space="preserve">我单位知晓上述行为的法律后果，承认本承诺书作为贵方（或采购人）要求我单位履行违约赔偿义务的依据作用。</w:t>
      </w:r>
      <w:r/>
    </w:p>
    <w:p>
      <w:p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投标（响应）人：（盖公章）</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法定代表人或委托代理人(签字或签章)：</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日期：</w:t>
      </w:r>
      <w:r/>
    </w:p>
    <w:p>
      <w:pPr>
        <w:rPr>
          <w:rFonts w:ascii="宋体" w:hAnsi="宋体"/>
          <w:b/>
          <w:color w:val="auto"/>
          <w:highlight w:val="none"/>
        </w:rPr>
      </w:pPr>
      <w:r>
        <w:rPr>
          <w:rFonts w:ascii="宋体" w:hAnsi="宋体"/>
          <w:color w:val="auto"/>
          <w:highlight w:val="none"/>
        </w:rPr>
        <w:br w:type="page" w:clear="all"/>
      </w:r>
      <w:r>
        <w:rPr>
          <w:rFonts w:hint="eastAsia" w:ascii="宋体" w:hAnsi="宋体"/>
          <w:b/>
          <w:color w:val="auto"/>
          <w:highlight w:val="none"/>
        </w:rPr>
        <w:t xml:space="preserve">附件8、投标人与其他单位存在控股、管理关系情况表</w:t>
      </w:r>
      <w:r/>
    </w:p>
    <w:p>
      <w:pPr>
        <w:jc w:val="center"/>
        <w:spacing w:line="360" w:lineRule="auto"/>
        <w:widowControl/>
        <w:rPr>
          <w:rFonts w:ascii="宋体" w:hAnsi="宋体"/>
          <w:b/>
          <w:color w:val="auto"/>
          <w:szCs w:val="21"/>
          <w:highlight w:val="none"/>
          <w:shd w:val="clear" w:color="auto" w:fill="ffffff"/>
        </w:rPr>
      </w:pPr>
      <w:r>
        <w:rPr>
          <w:rFonts w:ascii="宋体" w:hAnsi="宋体"/>
          <w:b/>
          <w:color w:val="auto"/>
          <w:szCs w:val="21"/>
          <w:highlight w:val="none"/>
          <w:shd w:val="clear" w:color="auto" w:fill="ffffff"/>
        </w:rPr>
      </w:r>
      <w:r/>
    </w:p>
    <w:p>
      <w:pPr>
        <w:jc w:val="center"/>
        <w:spacing w:line="360" w:lineRule="auto"/>
        <w:widowControl/>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投标人与其他单位存在控股、管理关系情况表</w:t>
      </w:r>
      <w:r/>
    </w:p>
    <w:tbl>
      <w:tblPr>
        <w:tblStyle w:val="936"/>
        <w:tblW w:w="111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7"/>
        <w:gridCol w:w="1704"/>
        <w:gridCol w:w="1506"/>
        <w:gridCol w:w="1580"/>
        <w:gridCol w:w="1440"/>
        <w:gridCol w:w="1711"/>
        <w:gridCol w:w="1268"/>
      </w:tblGrid>
      <w:tr>
        <w:trPr>
          <w:jc w:val="center"/>
          <w:trHeight w:val="766"/>
        </w:trPr>
        <w:tc>
          <w:tcPr>
            <w:gridSpan w:val="4"/>
            <w:tcW w:w="6767"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与投标人存在直接股权关系</w:t>
            </w:r>
            <w:r/>
          </w:p>
        </w:tc>
        <w:tc>
          <w:tcPr>
            <w:gridSpan w:val="3"/>
            <w:tcW w:w="4419"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与投标人存在直接管理关系</w:t>
            </w:r>
            <w:r/>
          </w:p>
        </w:tc>
      </w:tr>
      <w:tr>
        <w:trPr>
          <w:jc w:val="center"/>
          <w:trHeight w:val="768"/>
        </w:trPr>
        <w:tc>
          <w:tcPr>
            <w:tcW w:w="1977"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单位名称</w:t>
            </w:r>
            <w:r/>
          </w:p>
        </w:tc>
        <w:tc>
          <w:tcPr>
            <w:tcW w:w="1704"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是否为大型企业</w:t>
            </w:r>
            <w:r/>
          </w:p>
          <w:p>
            <w:pPr>
              <w:jc w:val="center"/>
              <w:widowControl/>
              <w:rPr>
                <w:rFonts w:ascii="宋体" w:hAnsi="宋体"/>
                <w:b/>
                <w:color w:val="auto"/>
                <w:szCs w:val="21"/>
                <w:highlight w:val="none"/>
              </w:rPr>
            </w:pPr>
            <w:r>
              <w:rPr>
                <w:rFonts w:hint="eastAsia" w:ascii="宋体" w:hAnsi="宋体"/>
                <w:b/>
                <w:color w:val="auto"/>
                <w:szCs w:val="21"/>
                <w:highlight w:val="none"/>
              </w:rPr>
              <w:t xml:space="preserve">（填写“是”或 “否”）</w:t>
            </w:r>
            <w:r/>
          </w:p>
        </w:tc>
        <w:tc>
          <w:tcPr>
            <w:tcW w:w="1506" w:type="dxa"/>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是否直接控股</w:t>
            </w:r>
            <w:r/>
          </w:p>
          <w:p>
            <w:pPr>
              <w:jc w:val="center"/>
              <w:widowControl/>
              <w:rPr>
                <w:rFonts w:ascii="宋体" w:hAnsi="宋体"/>
                <w:b/>
                <w:color w:val="auto"/>
                <w:szCs w:val="21"/>
                <w:highlight w:val="none"/>
              </w:rPr>
            </w:pPr>
            <w:r>
              <w:rPr>
                <w:rFonts w:hint="eastAsia" w:ascii="宋体" w:hAnsi="宋体"/>
                <w:b/>
                <w:color w:val="auto"/>
                <w:szCs w:val="21"/>
                <w:highlight w:val="none"/>
              </w:rPr>
              <w:t xml:space="preserve">（填写“是”或 “否”）</w:t>
            </w:r>
            <w:r/>
          </w:p>
        </w:tc>
        <w:tc>
          <w:tcPr>
            <w:tcW w:w="1580"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直接控股关系情况说明（持股比例等）</w:t>
            </w:r>
            <w:r/>
          </w:p>
        </w:tc>
        <w:tc>
          <w:tcPr>
            <w:tcW w:w="1440"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单位名称</w:t>
            </w:r>
            <w:r/>
          </w:p>
        </w:tc>
        <w:tc>
          <w:tcPr>
            <w:tcW w:w="1711"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是否为大型企业</w:t>
            </w:r>
            <w:r/>
          </w:p>
          <w:p>
            <w:pPr>
              <w:jc w:val="center"/>
              <w:widowControl/>
              <w:rPr>
                <w:rFonts w:ascii="宋体" w:hAnsi="宋体"/>
                <w:b/>
                <w:color w:val="auto"/>
                <w:szCs w:val="21"/>
                <w:highlight w:val="none"/>
              </w:rPr>
            </w:pPr>
            <w:r>
              <w:rPr>
                <w:rFonts w:hint="eastAsia" w:ascii="宋体" w:hAnsi="宋体"/>
                <w:b/>
                <w:color w:val="auto"/>
                <w:szCs w:val="21"/>
                <w:highlight w:val="none"/>
              </w:rPr>
              <w:t xml:space="preserve">（填写“是”或 “否”）</w:t>
            </w:r>
            <w:r/>
          </w:p>
        </w:tc>
        <w:tc>
          <w:tcPr>
            <w:tcW w:w="1268"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直接管理关系情况说明</w:t>
            </w:r>
            <w:r/>
          </w:p>
        </w:tc>
      </w:tr>
      <w:tr>
        <w:trPr>
          <w:jc w:val="center"/>
          <w:trHeight w:val="850"/>
        </w:trPr>
        <w:tc>
          <w:tcPr>
            <w:tcW w:w="1977"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977"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977"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977"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977"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977"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bl>
    <w:p>
      <w:pPr>
        <w:ind w:firstLine="566"/>
        <w:spacing w:line="360" w:lineRule="auto"/>
        <w:rPr>
          <w:rFonts w:ascii="宋体" w:hAnsi="宋体"/>
          <w:b/>
          <w:color w:val="auto"/>
          <w:szCs w:val="21"/>
          <w:highlight w:val="none"/>
        </w:rPr>
        <w:outlineLvl w:val="1"/>
      </w:pPr>
      <w:r>
        <w:rPr>
          <w:rFonts w:hint="eastAsia" w:ascii="宋体" w:hAnsi="宋体"/>
          <w:b/>
          <w:color w:val="auto"/>
          <w:szCs w:val="21"/>
          <w:highlight w:val="none"/>
        </w:rPr>
        <w:t xml:space="preserve">注：1、本表仅须填写与投标人存在直接股权、管理关系的企业情况。投标人应按上表要求据实填写，如填写“无”或不填写，均视为投标人声明不存在有关情形。</w:t>
      </w:r>
      <w:r/>
    </w:p>
    <w:p>
      <w:pPr>
        <w:ind w:firstLine="566"/>
        <w:spacing w:after="120" w:line="360" w:lineRule="auto"/>
        <w:rPr>
          <w:rFonts w:ascii="宋体" w:hAnsi="宋体"/>
          <w:b/>
          <w:color w:val="auto"/>
          <w:szCs w:val="21"/>
          <w:highlight w:val="none"/>
        </w:rPr>
      </w:pPr>
      <w:r>
        <w:rPr>
          <w:rFonts w:hint="eastAsia" w:ascii="宋体" w:hAnsi="宋体"/>
          <w:b/>
          <w:color w:val="auto"/>
          <w:szCs w:val="21"/>
          <w:highlight w:val="none"/>
        </w:rPr>
        <w:t xml:space="preserve">2、其中“直接控股”是指投标人与大型企业之间存在直接投资并控股（非普通持股）的关系。</w:t>
      </w:r>
      <w:r/>
    </w:p>
    <w:p>
      <w:pPr>
        <w:ind w:firstLine="566"/>
        <w:spacing w:after="120" w:line="360" w:lineRule="auto"/>
        <w:rPr>
          <w:rFonts w:ascii="宋体" w:hAnsi="宋体"/>
          <w:b/>
          <w:color w:val="auto"/>
          <w:szCs w:val="21"/>
          <w:highlight w:val="none"/>
        </w:rPr>
      </w:pPr>
      <w:r>
        <w:rPr>
          <w:rFonts w:ascii="宋体" w:hAnsi="宋体"/>
          <w:b/>
          <w:color w:val="auto"/>
          <w:szCs w:val="21"/>
          <w:highlight w:val="none"/>
        </w:rPr>
      </w:r>
      <w:r/>
    </w:p>
    <w:p>
      <w:pPr>
        <w:ind w:firstLine="48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投标人（盖章）： </w:t>
      </w:r>
      <w:r/>
    </w:p>
    <w:p>
      <w:pPr>
        <w:ind w:firstLine="48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8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ind w:firstLine="611"/>
        <w:spacing w:after="120" w:line="360" w:lineRule="auto"/>
        <w:rPr>
          <w:color w:val="auto"/>
          <w:szCs w:val="21"/>
          <w:highlight w:val="none"/>
        </w:rPr>
      </w:pPr>
      <w:r>
        <w:rPr>
          <w:color w:val="auto"/>
          <w:szCs w:val="21"/>
          <w:highlight w:val="none"/>
        </w:rPr>
      </w:r>
      <w:r/>
    </w:p>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（全文完）</w:t>
      </w:r>
      <w:r/>
    </w:p>
    <w:sectPr>
      <w:headerReference w:type="default" r:id="rId9"/>
      <w:headerReference w:type="first" r:id="rId10"/>
      <w:footerReference w:type="default" r:id="rId11"/>
      <w:footerReference w:type="even" r:id="rId12"/>
      <w:footnotePr/>
      <w:endnotePr/>
      <w:type w:val="nextPage"/>
      <w:pgSz w:w="11906" w:h="16838" w:orient="portrait"/>
      <w:pgMar w:top="850" w:right="907" w:bottom="1276" w:left="907" w:header="624" w:footer="283" w:gutter="113"/>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PMingLiU">
    <w:panose1 w:val="02020500000000000000"/>
  </w:font>
  <w:font w:name="Times">
    <w:panose1 w:val="02020603050405020304"/>
  </w:font>
  <w:font w:name="方正黑体简体">
    <w:panose1 w:val="020B0503020202020204"/>
  </w:font>
  <w:font w:name="Wingdings">
    <w:panose1 w:val="05000000000000000000"/>
  </w:font>
  <w:font w:name="Tahoma">
    <w:panose1 w:val="020B0604030504040204"/>
  </w:font>
  <w:font w:name="Courier New">
    <w:panose1 w:val="02070309020205020404"/>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21</w:t>
    </w:r>
    <w:r>
      <w:rPr>
        <w:rFonts w:ascii="宋体" w:hAnsi="宋体"/>
      </w:rPr>
      <w:fldChar w:fldCharType="end"/>
    </w:r>
    <w:r/>
  </w:p>
  <w:p>
    <w:pPr>
      <w:pStyle w:val="9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64"/>
      </w:rPr>
      <w:framePr w:wrap="around" w:vAnchor="text" w:hAnchor="margin" w:xAlign="center" w:y="1"/>
    </w:pPr>
    <w:r>
      <w:fldChar w:fldCharType="begin"/>
    </w:r>
    <w:r>
      <w:rPr>
        <w:rStyle w:val="964"/>
      </w:rPr>
      <w:instrText xml:space="preserve">PAGE  </w:instrText>
    </w:r>
    <w:r>
      <w:fldChar w:fldCharType="end"/>
    </w:r>
    <w:r/>
  </w:p>
  <w:p>
    <w:pPr>
      <w:pStyle w:val="9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both"/>
      <w:rPr>
        <w:rFonts w:hint="eastAsia" w:ascii="宋体" w:hAnsi="宋体" w:eastAsia="宋体"/>
        <w:lang w:eastAsia="zh-CN"/>
      </w:rPr>
    </w:pPr>
    <w:r>
      <w:rPr>
        <w:rFonts w:hint="eastAsia"/>
      </w:rPr>
      <w:t xml:space="preserve">苏州市原鑫招投标咨询服务有限公司                      </w:t>
    </w:r>
    <w:r>
      <w:rPr>
        <w:rFonts w:hint="eastAsia" w:ascii="宋体" w:hAnsi="宋体" w:cs="宋体"/>
      </w:rPr>
      <w:t xml:space="preserve">                            JSZC-320506-SZYX-T2025-0079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b w:val="0"/>
      </w:r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b w:val="0"/>
      </w:r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64" w:hanging="397"/>
        <w:tabs>
          <w:tab w:val="left" w:pos="964"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567" w:hanging="567"/>
        <w:tabs>
          <w:tab w:val="left" w:pos="567"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tab"/>
      <w:lvlText w:val="%1、"/>
      <w:lvlJc w:val="left"/>
      <w:pPr>
        <w:ind w:left="567" w:hanging="567"/>
        <w:tabs>
          <w:tab w:val="left" w:pos="56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b w:val="0"/>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1024"/>
      <w:isLgl w:val="false"/>
      <w:suff w:val="tab"/>
      <w:lvlText w:val=""/>
      <w:lvlJc w:val="left"/>
      <w:pPr>
        <w:ind w:left="360" w:hanging="360"/>
        <w:tabs>
          <w:tab w:val="left" w:pos="360" w:leader="none"/>
        </w:tabs>
      </w:pPr>
      <w:rPr>
        <w:rFonts w:hint="default" w:ascii="Symbol" w:hAnsi="Symbol"/>
        <w:lang w:val="en-US"/>
      </w:rPr>
    </w:lvl>
    <w:lvl w:ilvl="1">
      <w:start w:val="1"/>
      <w:numFmt w:val="bullet"/>
      <w:isLgl w:val="false"/>
      <w:suff w:val="tab"/>
      <w:lvlText w:val=""/>
      <w:lvlJc w:val="left"/>
      <w:pPr>
        <w:ind w:left="1140" w:hanging="420"/>
        <w:tabs>
          <w:tab w:val="left" w:pos="1140" w:leader="none"/>
        </w:tabs>
      </w:pPr>
      <w:rPr>
        <w:rFonts w:hint="default" w:ascii="Wingdings" w:hAnsi="Wingdings"/>
        <w:lang w:val="en-US"/>
      </w:rPr>
    </w:lvl>
    <w:lvl w:ilvl="2">
      <w:start w:val="1"/>
      <w:numFmt w:val="bullet"/>
      <w:isLgl w:val="false"/>
      <w:suff w:val="tab"/>
      <w:lvlText w:val=""/>
      <w:lvlJc w:val="left"/>
      <w:pPr>
        <w:ind w:left="1800" w:hanging="360"/>
        <w:tabs>
          <w:tab w:val="left" w:pos="1800" w:leader="none"/>
        </w:tabs>
      </w:pPr>
      <w:rPr>
        <w:rFonts w:hint="default" w:ascii="Wingdings" w:hAnsi="Wingdings"/>
      </w:rPr>
    </w:lvl>
    <w:lvl w:ilvl="3">
      <w:start w:val="1"/>
      <w:numFmt w:val="bullet"/>
      <w:isLgl w:val="false"/>
      <w:suff w:val="tab"/>
      <w:lvlText w:val=""/>
      <w:lvlJc w:val="left"/>
      <w:pPr>
        <w:ind w:left="2520" w:hanging="360"/>
        <w:tabs>
          <w:tab w:val="left" w:pos="2520" w:leader="none"/>
        </w:tabs>
      </w:pPr>
      <w:rPr>
        <w:rFonts w:hint="default" w:ascii="Symbol" w:hAnsi="Symbol"/>
      </w:rPr>
    </w:lvl>
    <w:lvl w:ilvl="4">
      <w:start w:val="1"/>
      <w:numFmt w:val="bullet"/>
      <w:isLgl w:val="false"/>
      <w:suff w:val="tab"/>
      <w:lvlText w:val="o"/>
      <w:lvlJc w:val="left"/>
      <w:pPr>
        <w:ind w:left="3240" w:hanging="360"/>
        <w:tabs>
          <w:tab w:val="left" w:pos="3240" w:leader="none"/>
        </w:tabs>
      </w:pPr>
      <w:rPr>
        <w:rFonts w:hint="default" w:ascii="Courier New" w:hAnsi="Courier New" w:cs="Courier New"/>
      </w:rPr>
    </w:lvl>
    <w:lvl w:ilvl="5">
      <w:start w:val="1"/>
      <w:numFmt w:val="bullet"/>
      <w:isLgl w:val="false"/>
      <w:suff w:val="tab"/>
      <w:lvlText w:val=""/>
      <w:lvlJc w:val="left"/>
      <w:pPr>
        <w:ind w:left="3960" w:hanging="360"/>
        <w:tabs>
          <w:tab w:val="left" w:pos="3960" w:leader="none"/>
        </w:tabs>
      </w:pPr>
      <w:rPr>
        <w:rFonts w:hint="default" w:ascii="Wingdings" w:hAnsi="Wingdings"/>
      </w:rPr>
    </w:lvl>
    <w:lvl w:ilvl="6">
      <w:start w:val="1"/>
      <w:numFmt w:val="bullet"/>
      <w:isLgl w:val="false"/>
      <w:suff w:val="tab"/>
      <w:lvlText w:val=""/>
      <w:lvlJc w:val="left"/>
      <w:pPr>
        <w:ind w:left="4680" w:hanging="360"/>
        <w:tabs>
          <w:tab w:val="left" w:pos="4680" w:leader="none"/>
        </w:tabs>
      </w:pPr>
      <w:rPr>
        <w:rFonts w:hint="default" w:ascii="Symbol" w:hAnsi="Symbol"/>
      </w:rPr>
    </w:lvl>
    <w:lvl w:ilvl="7">
      <w:start w:val="1"/>
      <w:numFmt w:val="bullet"/>
      <w:isLgl w:val="false"/>
      <w:suff w:val="tab"/>
      <w:lvlText w:val="o"/>
      <w:lvlJc w:val="left"/>
      <w:pPr>
        <w:ind w:left="5400" w:hanging="360"/>
        <w:tabs>
          <w:tab w:val="left" w:pos="5400" w:leader="none"/>
        </w:tabs>
      </w:pPr>
      <w:rPr>
        <w:rFonts w:hint="default" w:ascii="Courier New" w:hAnsi="Courier New" w:cs="Courier New"/>
      </w:rPr>
    </w:lvl>
    <w:lvl w:ilvl="8">
      <w:start w:val="1"/>
      <w:numFmt w:val="bullet"/>
      <w:isLgl w:val="false"/>
      <w:suff w:val="tab"/>
      <w:lvlText w:val=""/>
      <w:lvlJc w:val="left"/>
      <w:pPr>
        <w:ind w:left="6120" w:hanging="360"/>
        <w:tabs>
          <w:tab w:val="left" w:pos="6120" w:leader="none"/>
        </w:tabs>
      </w:pPr>
      <w:rPr>
        <w:rFonts w:hint="default" w:ascii="Wingdings" w:hAnsi="Wingdings"/>
      </w:rPr>
    </w:lvl>
  </w:abstractNum>
  <w:abstractNum w:abstractNumId="24">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5">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6">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lowerLetter"/>
      <w:isLgl w:val="false"/>
      <w:suff w:val="tab"/>
      <w:lvlText w:val="%5)"/>
      <w:lvlJc w:val="left"/>
      <w:pPr>
        <w:ind w:left="2531" w:hanging="420"/>
      </w:pPr>
    </w:lvl>
    <w:lvl w:ilvl="5">
      <w:start w:val="1"/>
      <w:numFmt w:val="lowerRoman"/>
      <w:isLgl w:val="false"/>
      <w:suff w:val="tab"/>
      <w:lvlText w:val="%6."/>
      <w:lvlJc w:val="right"/>
      <w:pPr>
        <w:ind w:left="2951" w:hanging="420"/>
      </w:pPr>
    </w:lvl>
    <w:lvl w:ilvl="6">
      <w:start w:val="1"/>
      <w:numFmt w:val="decimal"/>
      <w:isLgl w:val="false"/>
      <w:suff w:val="tab"/>
      <w:lvlText w:val="%7."/>
      <w:lvlJc w:val="left"/>
      <w:pPr>
        <w:ind w:left="3371" w:hanging="420"/>
      </w:pPr>
    </w:lvl>
    <w:lvl w:ilvl="7">
      <w:start w:val="1"/>
      <w:numFmt w:val="lowerLetter"/>
      <w:isLgl w:val="false"/>
      <w:suff w:val="tab"/>
      <w:lvlText w:val="%8)"/>
      <w:lvlJc w:val="left"/>
      <w:pPr>
        <w:ind w:left="3791" w:hanging="420"/>
      </w:pPr>
    </w:lvl>
    <w:lvl w:ilvl="8">
      <w:start w:val="1"/>
      <w:numFmt w:val="lowerRoman"/>
      <w:isLgl w:val="false"/>
      <w:suff w:val="tab"/>
      <w:lvlText w:val="%9."/>
      <w:lvlJc w:val="right"/>
      <w:pPr>
        <w:ind w:left="4211" w:hanging="420"/>
      </w:pPr>
    </w:lvl>
  </w:abstractNum>
  <w:abstractNum w:abstractNumId="27">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8">
    <w:multiLevelType w:val="hybridMultilevel"/>
    <w:lvl w:ilvl="0">
      <w:start w:val="1"/>
      <w:numFmt w:val="decimal"/>
      <w:isLgl w:val="false"/>
      <w:suff w:val="tab"/>
      <w:lvlText w:val="%1."/>
      <w:lvlJc w:val="left"/>
      <w:pPr>
        <w:ind w:left="567" w:hanging="567"/>
        <w:tabs>
          <w:tab w:val="left" w:pos="567" w:leader="none"/>
        </w:tabs>
      </w:pPr>
      <w:rPr>
        <w:rFonts w:ascii="宋体" w:hAnsi="宋体" w:eastAsia="宋体"/>
      </w:r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9">
    <w:multiLevelType w:val="hybridMultilevel"/>
    <w:lvl w:ilvl="0">
      <w:start w:val="1"/>
      <w:numFmt w:val="decimal"/>
      <w:pStyle w:val="1041"/>
      <w:isLgl w:val="false"/>
      <w:suff w:val="tab"/>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chineseCountingThousand"/>
      <w:isLgl w:val="false"/>
      <w:suff w:val="tab"/>
      <w:lvlText w:val="(%1)"/>
      <w:lvlJc w:val="left"/>
      <w:pPr>
        <w:ind w:left="567" w:hanging="567"/>
        <w:tabs>
          <w:tab w:val="left" w:pos="567" w:leader="none"/>
        </w:tabs>
      </w:pPr>
      <w:rPr>
        <w:rFonts w:hint="eastAsia"/>
      </w:rPr>
    </w:lvl>
    <w:lvl w:ilvl="1">
      <w:start w:val="1"/>
      <w:numFmt w:val="lowerLetter"/>
      <w:isLgl w:val="false"/>
      <w:suff w:val="tab"/>
      <w:lvlText w:val="%2)"/>
      <w:lvlJc w:val="left"/>
      <w:pPr>
        <w:ind w:left="1118" w:hanging="420"/>
      </w:pPr>
      <w:rPr>
        <w:rFonts w:hint="eastAsia"/>
      </w:rPr>
    </w:lvl>
    <w:lvl w:ilvl="2">
      <w:start w:val="1"/>
      <w:numFmt w:val="lowerRoman"/>
      <w:isLgl w:val="false"/>
      <w:suff w:val="tab"/>
      <w:lvlText w:val="%3."/>
      <w:lvlJc w:val="right"/>
      <w:pPr>
        <w:ind w:left="1538" w:hanging="420"/>
      </w:pPr>
      <w:rPr>
        <w:rFonts w:hint="eastAsia"/>
      </w:rPr>
    </w:lvl>
    <w:lvl w:ilvl="3">
      <w:start w:val="1"/>
      <w:numFmt w:val="decimal"/>
      <w:isLgl w:val="false"/>
      <w:suff w:val="tab"/>
      <w:lvlText w:val="%4."/>
      <w:lvlJc w:val="left"/>
      <w:pPr>
        <w:ind w:left="1958" w:hanging="420"/>
      </w:pPr>
      <w:rPr>
        <w:rFonts w:hint="eastAsia"/>
      </w:rPr>
    </w:lvl>
    <w:lvl w:ilvl="4">
      <w:start w:val="1"/>
      <w:numFmt w:val="lowerLetter"/>
      <w:isLgl w:val="false"/>
      <w:suff w:val="tab"/>
      <w:lvlText w:val="%5)"/>
      <w:lvlJc w:val="left"/>
      <w:pPr>
        <w:ind w:left="2378" w:hanging="420"/>
      </w:pPr>
      <w:rPr>
        <w:rFonts w:hint="eastAsia"/>
      </w:rPr>
    </w:lvl>
    <w:lvl w:ilvl="5">
      <w:start w:val="1"/>
      <w:numFmt w:val="lowerRoman"/>
      <w:isLgl w:val="false"/>
      <w:suff w:val="tab"/>
      <w:lvlText w:val="%6."/>
      <w:lvlJc w:val="right"/>
      <w:pPr>
        <w:ind w:left="2798" w:hanging="420"/>
      </w:pPr>
      <w:rPr>
        <w:rFonts w:hint="eastAsia"/>
      </w:rPr>
    </w:lvl>
    <w:lvl w:ilvl="6">
      <w:start w:val="1"/>
      <w:numFmt w:val="decimal"/>
      <w:isLgl w:val="false"/>
      <w:suff w:val="tab"/>
      <w:lvlText w:val="%7."/>
      <w:lvlJc w:val="left"/>
      <w:pPr>
        <w:ind w:left="3218" w:hanging="420"/>
      </w:pPr>
      <w:rPr>
        <w:rFonts w:hint="eastAsia"/>
      </w:rPr>
    </w:lvl>
    <w:lvl w:ilvl="7">
      <w:start w:val="1"/>
      <w:numFmt w:val="lowerLetter"/>
      <w:isLgl w:val="false"/>
      <w:suff w:val="tab"/>
      <w:lvlText w:val="%8)"/>
      <w:lvlJc w:val="left"/>
      <w:pPr>
        <w:ind w:left="3638" w:hanging="420"/>
      </w:pPr>
      <w:rPr>
        <w:rFonts w:hint="eastAsia"/>
      </w:rPr>
    </w:lvl>
    <w:lvl w:ilvl="8">
      <w:start w:val="1"/>
      <w:numFmt w:val="lowerRoman"/>
      <w:isLgl w:val="false"/>
      <w:suff w:val="tab"/>
      <w:lvlText w:val="%9."/>
      <w:lvlJc w:val="right"/>
      <w:pPr>
        <w:ind w:left="4058" w:hanging="420"/>
      </w:pPr>
      <w:rPr>
        <w:rFonts w:hint="eastAsia"/>
      </w:rPr>
    </w:lvl>
  </w:abstractNum>
  <w:abstractNum w:abstractNumId="34">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3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none"/>
      <w:pStyle w:val="1040"/>
      <w:isLgl w:val="false"/>
      <w:suff w:val="nothing"/>
      <w:lvlText w:val="%1"/>
      <w:lvlJc w:val="left"/>
      <w:pPr>
        <w:ind w:left="0" w:firstLine="0"/>
      </w:pPr>
      <w:rPr>
        <w:rFonts w:hint="default" w:ascii="Times New Roman" w:hAnsi="Times New Roman"/>
        <w:b/>
        <w:i w:val="0"/>
        <w:sz w:val="21"/>
      </w:rPr>
    </w:lvl>
    <w:lvl w:ilvl="1">
      <w:start w:val="1"/>
      <w:numFmt w:val="decimal"/>
      <w:pStyle w:val="1046"/>
      <w:isLgl w:val="false"/>
      <w:suff w:val="nothing"/>
      <w:lvlText w:val="%1%2　"/>
      <w:lvlJc w:val="left"/>
      <w:pPr>
        <w:ind w:left="360" w:firstLine="0"/>
      </w:pPr>
      <w:rPr>
        <w:rFonts w:hint="eastAsia" w:ascii="黑体" w:hAnsi="Times New Roman" w:eastAsia="黑体"/>
        <w:b w:val="0"/>
        <w:i w:val="0"/>
        <w:sz w:val="21"/>
      </w:rPr>
    </w:lvl>
    <w:lvl w:ilvl="2">
      <w:start w:val="1"/>
      <w:numFmt w:val="decimal"/>
      <w:pStyle w:val="1029"/>
      <w:isLgl w:val="false"/>
      <w:suff w:val="nothing"/>
      <w:lvlText w:val="%1%2.%3　"/>
      <w:lvlJc w:val="left"/>
      <w:pPr>
        <w:ind w:left="0" w:firstLine="0"/>
      </w:pPr>
      <w:rPr>
        <w:rFonts w:hint="eastAsia" w:ascii="黑体" w:hAnsi="Times New Roman" w:eastAsia="黑体"/>
        <w:b w:val="0"/>
        <w:i w:val="0"/>
        <w:sz w:val="21"/>
      </w:rPr>
    </w:lvl>
    <w:lvl w:ilvl="3">
      <w:start w:val="1"/>
      <w:numFmt w:val="decimal"/>
      <w:pStyle w:val="1028"/>
      <w:isLgl w:val="false"/>
      <w:suff w:val="nothing"/>
      <w:lvlText w:val="%1%2.%3.%4　"/>
      <w:lvlJc w:val="left"/>
      <w:pPr>
        <w:ind w:left="540" w:firstLine="0"/>
      </w:pPr>
      <w:rPr>
        <w:rFonts w:hint="eastAsia" w:ascii="黑体" w:hAnsi="Times New Roman" w:eastAsia="黑体"/>
        <w:b w:val="0"/>
        <w:i w:val="0"/>
        <w:sz w:val="21"/>
      </w:rPr>
    </w:lvl>
    <w:lvl w:ilvl="4">
      <w:start w:val="1"/>
      <w:numFmt w:val="decimal"/>
      <w:pStyle w:val="1031"/>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030"/>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050"/>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23"/>
  </w:num>
  <w:num w:numId="2">
    <w:abstractNumId w:val="36"/>
  </w:num>
  <w:num w:numId="3">
    <w:abstractNumId w:val="29"/>
  </w:num>
  <w:num w:numId="4">
    <w:abstractNumId w:val="5"/>
  </w:num>
  <w:num w:numId="5">
    <w:abstractNumId w:val="3"/>
  </w:num>
  <w:num w:numId="6">
    <w:abstractNumId w:val="9"/>
  </w:num>
  <w:num w:numId="7">
    <w:abstractNumId w:val="33"/>
  </w:num>
  <w:num w:numId="8">
    <w:abstractNumId w:val="35"/>
  </w:num>
  <w:num w:numId="9">
    <w:abstractNumId w:val="12"/>
  </w:num>
  <w:num w:numId="10">
    <w:abstractNumId w:val="31"/>
  </w:num>
  <w:num w:numId="11">
    <w:abstractNumId w:val="20"/>
  </w:num>
  <w:num w:numId="12">
    <w:abstractNumId w:val="16"/>
  </w:num>
  <w:num w:numId="13">
    <w:abstractNumId w:val="7"/>
  </w:num>
  <w:num w:numId="14">
    <w:abstractNumId w:val="0"/>
  </w:num>
  <w:num w:numId="15">
    <w:abstractNumId w:val="14"/>
  </w:num>
  <w:num w:numId="16">
    <w:abstractNumId w:val="25"/>
  </w:num>
  <w:num w:numId="17">
    <w:abstractNumId w:val="6"/>
  </w:num>
  <w:num w:numId="18">
    <w:abstractNumId w:val="11"/>
  </w:num>
  <w:num w:numId="19">
    <w:abstractNumId w:val="4"/>
  </w:num>
  <w:num w:numId="20">
    <w:abstractNumId w:val="30"/>
  </w:num>
  <w:num w:numId="21">
    <w:abstractNumId w:val="32"/>
  </w:num>
  <w:num w:numId="22">
    <w:abstractNumId w:val="13"/>
  </w:num>
  <w:num w:numId="23">
    <w:abstractNumId w:val="18"/>
  </w:num>
  <w:num w:numId="24">
    <w:abstractNumId w:val="1"/>
  </w:num>
  <w:num w:numId="25">
    <w:abstractNumId w:val="2"/>
  </w:num>
  <w:num w:numId="26">
    <w:abstractNumId w:val="28"/>
  </w:num>
  <w:num w:numId="27">
    <w:abstractNumId w:val="22"/>
  </w:num>
  <w:num w:numId="28">
    <w:abstractNumId w:val="15"/>
  </w:num>
  <w:num w:numId="29">
    <w:abstractNumId w:val="10"/>
  </w:num>
  <w:num w:numId="30">
    <w:abstractNumId w:val="34"/>
  </w:num>
  <w:num w:numId="31">
    <w:abstractNumId w:val="17"/>
  </w:num>
  <w:num w:numId="32">
    <w:abstractNumId w:val="27"/>
  </w:num>
  <w:num w:numId="33">
    <w:abstractNumId w:val="24"/>
  </w:num>
  <w:num w:numId="34">
    <w:abstractNumId w:val="21"/>
  </w:num>
  <w:num w:numId="35">
    <w:abstractNumId w:val="8"/>
  </w:num>
  <w:num w:numId="36">
    <w:abstractNumId w:val="19"/>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3">
    <w:name w:val="Heading 1 Char"/>
    <w:basedOn w:val="935"/>
    <w:link w:val="926"/>
    <w:uiPriority w:val="9"/>
    <w:rPr>
      <w:rFonts w:ascii="Arial" w:hAnsi="Arial" w:eastAsia="Arial" w:cs="Arial"/>
      <w:sz w:val="40"/>
      <w:szCs w:val="40"/>
    </w:rPr>
  </w:style>
  <w:style w:type="character" w:styleId="764">
    <w:name w:val="Heading 2 Char"/>
    <w:basedOn w:val="935"/>
    <w:link w:val="927"/>
    <w:uiPriority w:val="9"/>
    <w:rPr>
      <w:rFonts w:ascii="Arial" w:hAnsi="Arial" w:eastAsia="Arial" w:cs="Arial"/>
      <w:sz w:val="34"/>
    </w:rPr>
  </w:style>
  <w:style w:type="character" w:styleId="765">
    <w:name w:val="Heading 3 Char"/>
    <w:basedOn w:val="935"/>
    <w:link w:val="928"/>
    <w:uiPriority w:val="9"/>
    <w:rPr>
      <w:rFonts w:ascii="Arial" w:hAnsi="Arial" w:eastAsia="Arial" w:cs="Arial"/>
      <w:sz w:val="30"/>
      <w:szCs w:val="30"/>
    </w:rPr>
  </w:style>
  <w:style w:type="character" w:styleId="766">
    <w:name w:val="Heading 4 Char"/>
    <w:basedOn w:val="935"/>
    <w:link w:val="929"/>
    <w:uiPriority w:val="9"/>
    <w:rPr>
      <w:rFonts w:ascii="Arial" w:hAnsi="Arial" w:eastAsia="Arial" w:cs="Arial"/>
      <w:b/>
      <w:bCs/>
      <w:sz w:val="26"/>
      <w:szCs w:val="26"/>
    </w:rPr>
  </w:style>
  <w:style w:type="character" w:styleId="767">
    <w:name w:val="Heading 5 Char"/>
    <w:basedOn w:val="935"/>
    <w:link w:val="930"/>
    <w:uiPriority w:val="9"/>
    <w:rPr>
      <w:rFonts w:ascii="Arial" w:hAnsi="Arial" w:eastAsia="Arial" w:cs="Arial"/>
      <w:b/>
      <w:bCs/>
      <w:sz w:val="24"/>
      <w:szCs w:val="24"/>
    </w:rPr>
  </w:style>
  <w:style w:type="character" w:styleId="768">
    <w:name w:val="Heading 6 Char"/>
    <w:basedOn w:val="935"/>
    <w:link w:val="931"/>
    <w:uiPriority w:val="9"/>
    <w:rPr>
      <w:rFonts w:ascii="Arial" w:hAnsi="Arial" w:eastAsia="Arial" w:cs="Arial"/>
      <w:b/>
      <w:bCs/>
      <w:sz w:val="22"/>
      <w:szCs w:val="22"/>
    </w:rPr>
  </w:style>
  <w:style w:type="character" w:styleId="769">
    <w:name w:val="Heading 7 Char"/>
    <w:basedOn w:val="935"/>
    <w:link w:val="932"/>
    <w:uiPriority w:val="9"/>
    <w:rPr>
      <w:rFonts w:ascii="Arial" w:hAnsi="Arial" w:eastAsia="Arial" w:cs="Arial"/>
      <w:b/>
      <w:bCs/>
      <w:i/>
      <w:iCs/>
      <w:sz w:val="22"/>
      <w:szCs w:val="22"/>
    </w:rPr>
  </w:style>
  <w:style w:type="character" w:styleId="770">
    <w:name w:val="Heading 8 Char"/>
    <w:basedOn w:val="935"/>
    <w:link w:val="933"/>
    <w:uiPriority w:val="9"/>
    <w:rPr>
      <w:rFonts w:ascii="Arial" w:hAnsi="Arial" w:eastAsia="Arial" w:cs="Arial"/>
      <w:i/>
      <w:iCs/>
      <w:sz w:val="22"/>
      <w:szCs w:val="22"/>
    </w:rPr>
  </w:style>
  <w:style w:type="character" w:styleId="771">
    <w:name w:val="Heading 9 Char"/>
    <w:basedOn w:val="935"/>
    <w:link w:val="934"/>
    <w:uiPriority w:val="9"/>
    <w:rPr>
      <w:rFonts w:ascii="Arial" w:hAnsi="Arial" w:eastAsia="Arial" w:cs="Arial"/>
      <w:i/>
      <w:iCs/>
      <w:sz w:val="21"/>
      <w:szCs w:val="21"/>
    </w:rPr>
  </w:style>
  <w:style w:type="paragraph" w:styleId="772">
    <w:name w:val="No Spacing"/>
    <w:uiPriority w:val="1"/>
    <w:qFormat/>
    <w:pPr>
      <w:spacing w:before="0" w:after="0" w:line="240" w:lineRule="auto"/>
    </w:pPr>
  </w:style>
  <w:style w:type="character" w:styleId="773">
    <w:name w:val="Title Char"/>
    <w:basedOn w:val="935"/>
    <w:link w:val="962"/>
    <w:uiPriority w:val="10"/>
    <w:rPr>
      <w:sz w:val="48"/>
      <w:szCs w:val="48"/>
    </w:rPr>
  </w:style>
  <w:style w:type="paragraph" w:styleId="774">
    <w:name w:val="Subtitle"/>
    <w:basedOn w:val="925"/>
    <w:next w:val="925"/>
    <w:link w:val="775"/>
    <w:uiPriority w:val="11"/>
    <w:qFormat/>
    <w:pPr>
      <w:spacing w:before="200" w:after="200"/>
    </w:pPr>
    <w:rPr>
      <w:sz w:val="24"/>
      <w:szCs w:val="24"/>
    </w:rPr>
  </w:style>
  <w:style w:type="character" w:styleId="775">
    <w:name w:val="Subtitle Char"/>
    <w:basedOn w:val="935"/>
    <w:link w:val="774"/>
    <w:uiPriority w:val="11"/>
    <w:rPr>
      <w:sz w:val="24"/>
      <w:szCs w:val="24"/>
    </w:rPr>
  </w:style>
  <w:style w:type="paragraph" w:styleId="776">
    <w:name w:val="Quote"/>
    <w:basedOn w:val="925"/>
    <w:next w:val="925"/>
    <w:link w:val="777"/>
    <w:uiPriority w:val="29"/>
    <w:qFormat/>
    <w:pPr>
      <w:ind w:left="720" w:right="720"/>
    </w:pPr>
    <w:rPr>
      <w:i/>
    </w:rPr>
  </w:style>
  <w:style w:type="character" w:styleId="777">
    <w:name w:val="Quote Char"/>
    <w:link w:val="776"/>
    <w:uiPriority w:val="29"/>
    <w:rPr>
      <w:i/>
    </w:rPr>
  </w:style>
  <w:style w:type="paragraph" w:styleId="778">
    <w:name w:val="Intense Quote"/>
    <w:basedOn w:val="925"/>
    <w:next w:val="925"/>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character" w:styleId="780">
    <w:name w:val="Header Char"/>
    <w:basedOn w:val="935"/>
    <w:link w:val="955"/>
    <w:uiPriority w:val="99"/>
  </w:style>
  <w:style w:type="character" w:styleId="781">
    <w:name w:val="Footer Char"/>
    <w:basedOn w:val="935"/>
    <w:link w:val="953"/>
    <w:uiPriority w:val="99"/>
  </w:style>
  <w:style w:type="paragraph" w:styleId="782">
    <w:name w:val="Caption"/>
    <w:basedOn w:val="925"/>
    <w:next w:val="925"/>
    <w:uiPriority w:val="35"/>
    <w:semiHidden/>
    <w:unhideWhenUsed/>
    <w:qFormat/>
    <w:pPr>
      <w:spacing w:line="276" w:lineRule="auto"/>
    </w:pPr>
    <w:rPr>
      <w:b/>
      <w:bCs/>
      <w:color w:val="4f81bd" w:themeColor="accent1"/>
      <w:sz w:val="18"/>
      <w:szCs w:val="18"/>
    </w:rPr>
  </w:style>
  <w:style w:type="character" w:styleId="783">
    <w:name w:val="Caption Char"/>
    <w:basedOn w:val="782"/>
    <w:link w:val="953"/>
    <w:uiPriority w:val="99"/>
  </w:style>
  <w:style w:type="table" w:styleId="784">
    <w:name w:val="Table Grid Light"/>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1"/>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basedOn w:val="9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basedOn w:val="9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1 Light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2">
    <w:name w:val="Grid Table 1 Light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3">
    <w:name w:val="Grid Table 1 Light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4">
    <w:name w:val="Grid Table 1 Light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5">
    <w:name w:val="Grid Table 1 Light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6">
    <w:name w:val="Grid Table 1 Light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7">
    <w:name w:val="Grid Table 2"/>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2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9">
    <w:name w:val="Grid Table 2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2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2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2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3">
    <w:name w:val="Grid Table 2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4">
    <w:name w:val="Grid Table 3"/>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basedOn w:val="9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4 - Accent 1"/>
    <w:basedOn w:val="9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3">
    <w:name w:val="Grid Table 4 - Accent 2"/>
    <w:basedOn w:val="9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4">
    <w:name w:val="Grid Table 4 - Accent 3"/>
    <w:basedOn w:val="9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5">
    <w:name w:val="Grid Table 4 - Accent 4"/>
    <w:basedOn w:val="9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6">
    <w:name w:val="Grid Table 4 - Accent 5"/>
    <w:basedOn w:val="9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7">
    <w:name w:val="Grid Table 4 - Accent 6"/>
    <w:basedOn w:val="9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8">
    <w:name w:val="Grid Table 5 Dark"/>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5 Dark- Accent 1"/>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20">
    <w:name w:val="Grid Table 5 Dark - Accent 2"/>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1">
    <w:name w:val="Grid Table 5 Dark - Accent 3"/>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2">
    <w:name w:val="Grid Table 5 Dark- Accent 4"/>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3">
    <w:name w:val="Grid Table 5 Dark - Accent 5"/>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24">
    <w:name w:val="Grid Table 5 Dark - Accent 6"/>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5">
    <w:name w:val="Grid Table 6 Colorful"/>
    <w:basedOn w:val="9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6 Colorful - Accent 1"/>
    <w:basedOn w:val="9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27">
    <w:name w:val="Grid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8">
    <w:name w:val="Grid Table 6 Colorful - Accent 3"/>
    <w:basedOn w:val="9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9">
    <w:name w:val="Grid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0">
    <w:name w:val="Grid Table 6 Colorful - Accent 5"/>
    <w:basedOn w:val="9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1">
    <w:name w:val="Grid Table 6 Colorful - Accent 6"/>
    <w:basedOn w:val="9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2">
    <w:name w:val="Grid Table 7 Colorful"/>
    <w:basedOn w:val="9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Grid Table 7 Colorful - Accent 1"/>
    <w:basedOn w:val="9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4">
    <w:name w:val="Grid Table 7 Colorful - Accent 2"/>
    <w:basedOn w:val="9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7 Colorful - Accent 3"/>
    <w:basedOn w:val="9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7 Colorful - Accent 4"/>
    <w:basedOn w:val="9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7 Colorful - Accent 5"/>
    <w:basedOn w:val="9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8">
    <w:name w:val="Grid Table 7 Colorful - Accent 6"/>
    <w:basedOn w:val="9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9">
    <w:name w:val="List Table 1 Light"/>
    <w:basedOn w:val="9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1 Light - Accent 1"/>
    <w:basedOn w:val="93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1">
    <w:name w:val="List Table 1 Light - Accent 2"/>
    <w:basedOn w:val="93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2">
    <w:name w:val="List Table 1 Light - Accent 3"/>
    <w:basedOn w:val="93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3">
    <w:name w:val="List Table 1 Light - Accent 4"/>
    <w:basedOn w:val="93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4">
    <w:name w:val="List Table 1 Light - Accent 5"/>
    <w:basedOn w:val="93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5">
    <w:name w:val="List Table 1 Light - Accent 6"/>
    <w:basedOn w:val="93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6">
    <w:name w:val="List Table 2"/>
    <w:basedOn w:val="9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2 - Accent 1"/>
    <w:basedOn w:val="9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8">
    <w:name w:val="List Table 2 - Accent 2"/>
    <w:basedOn w:val="9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9">
    <w:name w:val="List Table 2 - Accent 3"/>
    <w:basedOn w:val="9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0">
    <w:name w:val="List Table 2 - Accent 4"/>
    <w:basedOn w:val="9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1">
    <w:name w:val="List Table 2 - Accent 5"/>
    <w:basedOn w:val="9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2">
    <w:name w:val="List Table 2 - Accent 6"/>
    <w:basedOn w:val="9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3">
    <w:name w:val="List Table 3"/>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3 - Accent 1"/>
    <w:basedOn w:val="9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5">
    <w:name w:val="List Table 3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6">
    <w:name w:val="List Table 3 - Accent 3"/>
    <w:basedOn w:val="9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7">
    <w:name w:val="List Table 3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8">
    <w:name w:val="List Table 3 - Accent 5"/>
    <w:basedOn w:val="9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59">
    <w:name w:val="List Table 3 - Accent 6"/>
    <w:basedOn w:val="9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0">
    <w:name w:val="List Table 4"/>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 Accent 1"/>
    <w:basedOn w:val="9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2">
    <w:name w:val="List Table 4 - Accent 2"/>
    <w:basedOn w:val="9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3">
    <w:name w:val="List Table 4 - Accent 3"/>
    <w:basedOn w:val="9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4">
    <w:name w:val="List Table 4 - Accent 4"/>
    <w:basedOn w:val="9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5">
    <w:name w:val="List Table 4 - Accent 5"/>
    <w:basedOn w:val="9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66">
    <w:name w:val="List Table 4 - Accent 6"/>
    <w:basedOn w:val="9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7">
    <w:name w:val="List Table 5 Dark"/>
    <w:basedOn w:val="9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1"/>
    <w:basedOn w:val="9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2"/>
    <w:basedOn w:val="9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3"/>
    <w:basedOn w:val="9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4"/>
    <w:basedOn w:val="9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5"/>
    <w:basedOn w:val="9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6"/>
    <w:basedOn w:val="9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basedOn w:val="9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6 Colorful - Accent 1"/>
    <w:basedOn w:val="9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76">
    <w:name w:val="List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7">
    <w:name w:val="List Table 6 Colorful - Accent 3"/>
    <w:basedOn w:val="9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8">
    <w:name w:val="List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9">
    <w:name w:val="List Table 6 Colorful - Accent 5"/>
    <w:basedOn w:val="9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80">
    <w:name w:val="List Table 6 Colorful - Accent 6"/>
    <w:basedOn w:val="9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1">
    <w:name w:val="List Table 7 Colorful"/>
    <w:basedOn w:val="9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2">
    <w:name w:val="List Table 7 Colorful - Accent 1"/>
    <w:basedOn w:val="9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83">
    <w:name w:val="List Table 7 Colorful - Accent 2"/>
    <w:basedOn w:val="9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4">
    <w:name w:val="List Table 7 Colorful - Accent 3"/>
    <w:basedOn w:val="9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5">
    <w:name w:val="List Table 7 Colorful - Accent 4"/>
    <w:basedOn w:val="9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6">
    <w:name w:val="List Table 7 Colorful - Accent 5"/>
    <w:basedOn w:val="9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87">
    <w:name w:val="List Table 7 Colorful - Accent 6"/>
    <w:basedOn w:val="9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8">
    <w:name w:val="Lined - Accent"/>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Lined - Accent 1"/>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0">
    <w:name w:val="Lined - Accent 2"/>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1">
    <w:name w:val="Lined - Accent 3"/>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2">
    <w:name w:val="Lined - Accent 4"/>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3">
    <w:name w:val="Lined - Accent 5"/>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4">
    <w:name w:val="Lined - Accent 6"/>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5">
    <w:name w:val="Bordered &amp; Lined - Accent"/>
    <w:basedOn w:val="9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Bordered &amp; Lined - Accent 1"/>
    <w:basedOn w:val="9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7">
    <w:name w:val="Bordered &amp; Lined - Accent 2"/>
    <w:basedOn w:val="9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8">
    <w:name w:val="Bordered &amp; Lined - Accent 3"/>
    <w:basedOn w:val="9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9">
    <w:name w:val="Bordered &amp; Lined - Accent 4"/>
    <w:basedOn w:val="9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0">
    <w:name w:val="Bordered &amp; Lined - Accent 5"/>
    <w:basedOn w:val="9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1">
    <w:name w:val="Bordered &amp; Lined - Accent 6"/>
    <w:basedOn w:val="9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2">
    <w:name w:val="Bordered"/>
    <w:basedOn w:val="9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3">
    <w:name w:val="Bordered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4">
    <w:name w:val="Bordered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5">
    <w:name w:val="Bordered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6">
    <w:name w:val="Bordered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7">
    <w:name w:val="Bordered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8">
    <w:name w:val="Bordered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9">
    <w:name w:val="footnote text"/>
    <w:basedOn w:val="925"/>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basedOn w:val="935"/>
    <w:uiPriority w:val="99"/>
    <w:unhideWhenUsed/>
    <w:rPr>
      <w:vertAlign w:val="superscript"/>
    </w:rPr>
  </w:style>
  <w:style w:type="paragraph" w:styleId="912">
    <w:name w:val="endnote text"/>
    <w:basedOn w:val="925"/>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basedOn w:val="935"/>
    <w:uiPriority w:val="99"/>
    <w:semiHidden/>
    <w:unhideWhenUsed/>
    <w:rPr>
      <w:vertAlign w:val="superscript"/>
    </w:r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37"/>
    <w:uiPriority w:val="0"/>
    <w:qFormat/>
    <w:pPr>
      <w:jc w:val="both"/>
      <w:widowControl w:val="off"/>
    </w:pPr>
    <w:rPr>
      <w:rFonts w:ascii="Times New Roman" w:hAnsi="Times New Roman" w:eastAsia="宋体" w:cs="Times New Roman"/>
      <w:sz w:val="21"/>
      <w:szCs w:val="24"/>
      <w:lang w:val="en-US" w:eastAsia="zh-CN" w:bidi="ar-SA"/>
    </w:rPr>
  </w:style>
  <w:style w:type="paragraph" w:styleId="926">
    <w:name w:val="Heading 1"/>
    <w:basedOn w:val="925"/>
    <w:next w:val="925"/>
    <w:link w:val="982"/>
    <w:uiPriority w:val="0"/>
    <w:qFormat/>
    <w:pPr>
      <w:keepLines/>
      <w:keepNext/>
      <w:spacing w:before="340" w:after="330" w:line="578" w:lineRule="auto"/>
      <w:outlineLvl w:val="0"/>
    </w:pPr>
    <w:rPr>
      <w:b/>
      <w:bCs/>
      <w:sz w:val="44"/>
      <w:szCs w:val="44"/>
    </w:rPr>
  </w:style>
  <w:style w:type="paragraph" w:styleId="927">
    <w:name w:val="Heading 2"/>
    <w:basedOn w:val="925"/>
    <w:next w:val="925"/>
    <w:link w:val="988"/>
    <w:uiPriority w:val="0"/>
    <w:qFormat/>
    <w:pPr>
      <w:keepLines/>
      <w:keepNext/>
      <w:spacing w:before="260" w:after="260" w:line="416" w:lineRule="auto"/>
      <w:outlineLvl w:val="1"/>
    </w:pPr>
    <w:rPr>
      <w:rFonts w:ascii="Arial" w:hAnsi="Arial" w:eastAsia="黑体"/>
      <w:b/>
      <w:bCs/>
      <w:sz w:val="32"/>
      <w:szCs w:val="32"/>
    </w:rPr>
  </w:style>
  <w:style w:type="paragraph" w:styleId="928">
    <w:name w:val="Heading 3"/>
    <w:basedOn w:val="925"/>
    <w:next w:val="925"/>
    <w:link w:val="998"/>
    <w:uiPriority w:val="0"/>
    <w:qFormat/>
    <w:pPr>
      <w:keepLines/>
      <w:keepNext/>
      <w:spacing w:before="260" w:after="260" w:line="416" w:lineRule="auto"/>
      <w:outlineLvl w:val="2"/>
    </w:pPr>
    <w:rPr>
      <w:b/>
      <w:bCs/>
      <w:sz w:val="32"/>
      <w:szCs w:val="32"/>
    </w:rPr>
  </w:style>
  <w:style w:type="paragraph" w:styleId="929">
    <w:name w:val="Heading 4"/>
    <w:basedOn w:val="925"/>
    <w:next w:val="925"/>
    <w:link w:val="1000"/>
    <w:uiPriority w:val="0"/>
    <w:qFormat/>
    <w:pPr>
      <w:keepLines/>
      <w:keepNext/>
      <w:spacing w:before="280" w:after="290" w:line="376" w:lineRule="auto"/>
      <w:outlineLvl w:val="3"/>
    </w:pPr>
    <w:rPr>
      <w:rFonts w:ascii="Cambria" w:hAnsi="Cambria"/>
      <w:b/>
      <w:bCs/>
      <w:sz w:val="28"/>
      <w:szCs w:val="28"/>
    </w:rPr>
  </w:style>
  <w:style w:type="paragraph" w:styleId="930">
    <w:name w:val="Heading 5"/>
    <w:basedOn w:val="925"/>
    <w:next w:val="925"/>
    <w:link w:val="1010"/>
    <w:uiPriority w:val="0"/>
    <w:qFormat/>
    <w:pPr>
      <w:keepLines/>
      <w:keepNext/>
      <w:spacing w:before="280" w:after="290" w:line="376" w:lineRule="auto"/>
      <w:outlineLvl w:val="4"/>
    </w:pPr>
    <w:rPr>
      <w:rFonts w:ascii="Calibri" w:hAnsi="Calibri"/>
      <w:b/>
      <w:bCs/>
      <w:sz w:val="28"/>
      <w:szCs w:val="28"/>
    </w:rPr>
  </w:style>
  <w:style w:type="paragraph" w:styleId="931">
    <w:name w:val="Heading 6"/>
    <w:basedOn w:val="925"/>
    <w:next w:val="937"/>
    <w:link w:val="992"/>
    <w:uiPriority w:val="0"/>
    <w:qFormat/>
    <w:pPr>
      <w:ind w:left="1152" w:hanging="1152"/>
      <w:keepLines/>
      <w:keepNext/>
      <w:spacing w:before="240" w:after="64" w:line="320" w:lineRule="auto"/>
      <w:tabs>
        <w:tab w:val="left" w:pos="1152" w:leader="none"/>
      </w:tabs>
      <w:outlineLvl w:val="5"/>
    </w:pPr>
    <w:rPr>
      <w:rFonts w:ascii="Arial" w:hAnsi="Arial" w:eastAsia="黑体"/>
      <w:b/>
      <w:sz w:val="24"/>
      <w:szCs w:val="20"/>
    </w:rPr>
  </w:style>
  <w:style w:type="paragraph" w:styleId="932">
    <w:name w:val="Heading 7"/>
    <w:basedOn w:val="925"/>
    <w:next w:val="937"/>
    <w:link w:val="1007"/>
    <w:uiPriority w:val="0"/>
    <w:qFormat/>
    <w:pPr>
      <w:ind w:left="1296" w:hanging="1296"/>
      <w:keepLines/>
      <w:keepNext/>
      <w:spacing w:before="240" w:after="64" w:line="320" w:lineRule="auto"/>
      <w:tabs>
        <w:tab w:val="left" w:pos="1296" w:leader="none"/>
      </w:tabs>
      <w:outlineLvl w:val="6"/>
    </w:pPr>
    <w:rPr>
      <w:b/>
      <w:sz w:val="24"/>
      <w:szCs w:val="20"/>
    </w:rPr>
  </w:style>
  <w:style w:type="paragraph" w:styleId="933">
    <w:name w:val="Heading 8"/>
    <w:basedOn w:val="925"/>
    <w:next w:val="937"/>
    <w:link w:val="1011"/>
    <w:uiPriority w:val="0"/>
    <w:qFormat/>
    <w:pPr>
      <w:ind w:left="1440" w:hanging="1440"/>
      <w:keepLines/>
      <w:keepNext/>
      <w:spacing w:before="240" w:after="64" w:line="320" w:lineRule="auto"/>
      <w:tabs>
        <w:tab w:val="left" w:pos="1440" w:leader="none"/>
      </w:tabs>
      <w:outlineLvl w:val="7"/>
    </w:pPr>
    <w:rPr>
      <w:rFonts w:ascii="Arial" w:hAnsi="Arial" w:eastAsia="黑体"/>
      <w:sz w:val="24"/>
      <w:szCs w:val="20"/>
    </w:rPr>
  </w:style>
  <w:style w:type="paragraph" w:styleId="934">
    <w:name w:val="Heading 9"/>
    <w:basedOn w:val="925"/>
    <w:next w:val="937"/>
    <w:link w:val="997"/>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Layout w:type="fixed"/>
      <w:tblCellMar>
        <w:left w:w="108" w:type="dxa"/>
        <w:top w:w="0" w:type="dxa"/>
        <w:right w:w="108" w:type="dxa"/>
        <w:bottom w:w="0" w:type="dxa"/>
      </w:tblCellMar>
    </w:tblPr>
  </w:style>
  <w:style w:type="paragraph" w:styleId="937">
    <w:name w:val="Normal Indent"/>
    <w:basedOn w:val="925"/>
    <w:next w:val="925"/>
    <w:link w:val="1004"/>
    <w:uiPriority w:val="0"/>
    <w:qFormat/>
    <w:pPr>
      <w:ind w:firstLine="420"/>
      <w:jc w:val="left"/>
    </w:pPr>
    <w:rPr>
      <w:rFonts w:eastAsia="楷体_GB2312"/>
      <w:sz w:val="24"/>
      <w:szCs w:val="20"/>
    </w:rPr>
  </w:style>
  <w:style w:type="paragraph" w:styleId="938">
    <w:name w:val="List 3"/>
    <w:basedOn w:val="925"/>
    <w:uiPriority w:val="0"/>
    <w:qFormat/>
    <w:pPr>
      <w:ind w:left="100" w:hanging="200"/>
      <w:spacing w:line="360" w:lineRule="auto"/>
    </w:pPr>
    <w:rPr>
      <w:sz w:val="24"/>
    </w:rPr>
  </w:style>
  <w:style w:type="paragraph" w:styleId="939">
    <w:name w:val="annotation subject"/>
    <w:basedOn w:val="940"/>
    <w:next w:val="940"/>
    <w:link w:val="1012"/>
    <w:uiPriority w:val="0"/>
    <w:semiHidden/>
    <w:qFormat/>
    <w:rPr>
      <w:b/>
      <w:bCs/>
    </w:rPr>
  </w:style>
  <w:style w:type="paragraph" w:styleId="940">
    <w:name w:val="annotation text"/>
    <w:basedOn w:val="925"/>
    <w:link w:val="1013"/>
    <w:uiPriority w:val="0"/>
    <w:qFormat/>
    <w:pPr>
      <w:jc w:val="left"/>
    </w:pPr>
  </w:style>
  <w:style w:type="paragraph" w:styleId="941">
    <w:name w:val="Body Text First Indent"/>
    <w:basedOn w:val="942"/>
    <w:next w:val="925"/>
    <w:link w:val="983"/>
    <w:uiPriority w:val="0"/>
    <w:qFormat/>
    <w:pPr>
      <w:ind w:firstLine="420"/>
      <w:spacing w:after="120" w:line="400" w:lineRule="exact"/>
      <w:tabs>
        <w:tab w:val="left" w:pos="5250" w:leader="none"/>
      </w:tabs>
    </w:pPr>
    <w:rPr>
      <w:sz w:val="21"/>
    </w:rPr>
  </w:style>
  <w:style w:type="paragraph" w:styleId="942">
    <w:name w:val="Body Text"/>
    <w:basedOn w:val="925"/>
    <w:next w:val="937"/>
    <w:link w:val="973"/>
    <w:uiPriority w:val="0"/>
    <w:qFormat/>
    <w:pPr>
      <w:tabs>
        <w:tab w:val="left" w:pos="5250" w:leader="none"/>
      </w:tabs>
    </w:pPr>
    <w:rPr>
      <w:sz w:val="28"/>
    </w:rPr>
  </w:style>
  <w:style w:type="paragraph" w:styleId="943">
    <w:name w:val="Document Map"/>
    <w:basedOn w:val="925"/>
    <w:link w:val="977"/>
    <w:uiPriority w:val="0"/>
    <w:semiHidden/>
    <w:qFormat/>
    <w:pPr>
      <w:shd w:val="clear" w:color="auto" w:fill="000080"/>
    </w:pPr>
  </w:style>
  <w:style w:type="paragraph" w:styleId="944">
    <w:name w:val="Body Text 3"/>
    <w:basedOn w:val="925"/>
    <w:link w:val="974"/>
    <w:uiPriority w:val="0"/>
    <w:qFormat/>
    <w:pPr>
      <w:spacing w:line="500" w:lineRule="exact"/>
    </w:pPr>
    <w:rPr>
      <w:rFonts w:ascii="宋体" w:hAnsi="宋体"/>
    </w:rPr>
  </w:style>
  <w:style w:type="paragraph" w:styleId="945">
    <w:name w:val="Body Text Indent"/>
    <w:basedOn w:val="925"/>
    <w:next w:val="946"/>
    <w:link w:val="1006"/>
    <w:uiPriority w:val="0"/>
    <w:qFormat/>
    <w:pPr>
      <w:ind w:firstLine="560"/>
      <w:jc w:val="left"/>
      <w:spacing w:line="300" w:lineRule="auto"/>
    </w:pPr>
    <w:rPr>
      <w:sz w:val="28"/>
    </w:rPr>
  </w:style>
  <w:style w:type="paragraph" w:styleId="946">
    <w:name w:val="envelope return"/>
    <w:basedOn w:val="925"/>
    <w:uiPriority w:val="0"/>
    <w:qFormat/>
    <w:rPr>
      <w:rFonts w:ascii="Arial" w:hAnsi="Arial" w:cs="Arial"/>
    </w:rPr>
  </w:style>
  <w:style w:type="paragraph" w:styleId="947">
    <w:name w:val="List 2"/>
    <w:basedOn w:val="925"/>
    <w:uiPriority w:val="0"/>
    <w:qFormat/>
    <w:pPr>
      <w:ind w:left="100" w:hanging="200"/>
      <w:spacing w:line="360" w:lineRule="auto"/>
    </w:pPr>
    <w:rPr>
      <w:sz w:val="24"/>
    </w:rPr>
  </w:style>
  <w:style w:type="paragraph" w:styleId="948">
    <w:name w:val="Block Text"/>
    <w:basedOn w:val="925"/>
    <w:uiPriority w:val="0"/>
    <w:qFormat/>
    <w:pPr>
      <w:ind w:left="630" w:right="-609" w:firstLine="420"/>
      <w:spacing w:line="360" w:lineRule="auto"/>
    </w:pPr>
    <w:rPr>
      <w:rFonts w:hint="eastAsia" w:ascii="仿宋_GB2312" w:eastAsia="仿宋_GB2312"/>
      <w:szCs w:val="20"/>
    </w:rPr>
  </w:style>
  <w:style w:type="paragraph" w:styleId="949">
    <w:name w:val="Plain Text"/>
    <w:basedOn w:val="925"/>
    <w:link w:val="1014"/>
    <w:uiPriority w:val="0"/>
    <w:qFormat/>
    <w:rPr>
      <w:rFonts w:ascii="宋体" w:hAnsi="Courier New" w:eastAsia="楷体_GB2312"/>
      <w:sz w:val="28"/>
      <w:szCs w:val="20"/>
    </w:rPr>
  </w:style>
  <w:style w:type="paragraph" w:styleId="950">
    <w:name w:val="Date"/>
    <w:basedOn w:val="925"/>
    <w:next w:val="925"/>
    <w:link w:val="971"/>
    <w:uiPriority w:val="0"/>
    <w:qFormat/>
    <w:rPr>
      <w:szCs w:val="20"/>
    </w:rPr>
  </w:style>
  <w:style w:type="paragraph" w:styleId="951">
    <w:name w:val="Body Text Indent 2"/>
    <w:basedOn w:val="925"/>
    <w:link w:val="999"/>
    <w:uiPriority w:val="0"/>
    <w:qFormat/>
    <w:pPr>
      <w:ind w:left="840"/>
      <w:spacing w:line="360" w:lineRule="auto"/>
      <w:tabs>
        <w:tab w:val="left" w:pos="630" w:leader="none"/>
      </w:tabs>
    </w:pPr>
    <w:rPr>
      <w:rFonts w:ascii="宋体" w:hAnsi="宋体"/>
    </w:rPr>
  </w:style>
  <w:style w:type="paragraph" w:styleId="952">
    <w:name w:val="Balloon Text"/>
    <w:basedOn w:val="925"/>
    <w:link w:val="994"/>
    <w:uiPriority w:val="0"/>
    <w:semiHidden/>
    <w:qFormat/>
    <w:rPr>
      <w:sz w:val="18"/>
      <w:szCs w:val="18"/>
    </w:rPr>
  </w:style>
  <w:style w:type="paragraph" w:styleId="953">
    <w:name w:val="Footer"/>
    <w:basedOn w:val="925"/>
    <w:link w:val="1003"/>
    <w:uiPriority w:val="99"/>
    <w:qFormat/>
    <w:pPr>
      <w:jc w:val="left"/>
      <w:tabs>
        <w:tab w:val="center" w:pos="4153" w:leader="none"/>
        <w:tab w:val="right" w:pos="8306" w:leader="none"/>
      </w:tabs>
    </w:pPr>
    <w:rPr>
      <w:sz w:val="18"/>
      <w:szCs w:val="18"/>
    </w:rPr>
  </w:style>
  <w:style w:type="paragraph" w:styleId="954">
    <w:name w:val="Body Text First Indent 2"/>
    <w:basedOn w:val="945"/>
    <w:next w:val="937"/>
    <w:uiPriority w:val="99"/>
    <w:unhideWhenUsed/>
    <w:qFormat/>
    <w:pPr>
      <w:ind w:left="420" w:firstLine="420"/>
      <w:jc w:val="both"/>
      <w:spacing w:after="120"/>
    </w:pPr>
    <w:rPr>
      <w:sz w:val="21"/>
    </w:rPr>
  </w:style>
  <w:style w:type="paragraph" w:styleId="955">
    <w:name w:val="Header"/>
    <w:basedOn w:val="925"/>
    <w:link w:val="991"/>
    <w:uiPriority w:val="99"/>
    <w:qFormat/>
    <w:pPr>
      <w:jc w:val="center"/>
      <w:tabs>
        <w:tab w:val="center" w:pos="4153" w:leader="none"/>
        <w:tab w:val="right" w:pos="8306" w:leader="none"/>
      </w:tabs>
      <w:pBdr>
        <w:bottom w:val="single" w:color="auto" w:sz="6" w:space="1"/>
      </w:pBdr>
    </w:pPr>
    <w:rPr>
      <w:sz w:val="18"/>
      <w:szCs w:val="18"/>
    </w:rPr>
  </w:style>
  <w:style w:type="paragraph" w:styleId="956">
    <w:name w:val="toc 1"/>
    <w:basedOn w:val="925"/>
    <w:next w:val="925"/>
    <w:uiPriority w:val="0"/>
    <w:qFormat/>
    <w:pPr>
      <w:jc w:val="left"/>
      <w:spacing w:line="400" w:lineRule="exact"/>
    </w:pPr>
    <w:rPr>
      <w:rFonts w:eastAsia="楷体_GB2312"/>
      <w:sz w:val="24"/>
      <w:szCs w:val="20"/>
    </w:rPr>
  </w:style>
  <w:style w:type="paragraph" w:styleId="957">
    <w:name w:val="List"/>
    <w:basedOn w:val="925"/>
    <w:uiPriority w:val="0"/>
    <w:qFormat/>
    <w:pPr>
      <w:ind w:left="200" w:hanging="200"/>
      <w:spacing w:line="360" w:lineRule="auto"/>
    </w:pPr>
    <w:rPr>
      <w:sz w:val="24"/>
    </w:rPr>
  </w:style>
  <w:style w:type="paragraph" w:styleId="958">
    <w:name w:val="Body Text Indent 3"/>
    <w:basedOn w:val="925"/>
    <w:link w:val="972"/>
    <w:uiPriority w:val="0"/>
    <w:qFormat/>
    <w:pPr>
      <w:ind w:firstLine="480"/>
      <w:spacing w:line="360" w:lineRule="auto"/>
      <w:widowControl/>
    </w:pPr>
    <w:rPr>
      <w:sz w:val="24"/>
    </w:rPr>
  </w:style>
  <w:style w:type="paragraph" w:styleId="959">
    <w:name w:val="Body Text 2"/>
    <w:basedOn w:val="925"/>
    <w:link w:val="981"/>
    <w:uiPriority w:val="0"/>
    <w:qFormat/>
    <w:pPr>
      <w:spacing w:after="120" w:line="480" w:lineRule="auto"/>
    </w:pPr>
  </w:style>
  <w:style w:type="paragraph" w:styleId="960">
    <w:name w:val="List Continue 2"/>
    <w:basedOn w:val="925"/>
    <w:uiPriority w:val="0"/>
    <w:qFormat/>
    <w:pPr>
      <w:ind w:left="840"/>
      <w:spacing w:after="120" w:line="360" w:lineRule="auto"/>
    </w:pPr>
    <w:rPr>
      <w:sz w:val="24"/>
    </w:rPr>
  </w:style>
  <w:style w:type="paragraph" w:styleId="961">
    <w:name w:val="Normal (Web)"/>
    <w:basedOn w:val="925"/>
    <w:uiPriority w:val="0"/>
    <w:qFormat/>
    <w:pPr>
      <w:jc w:val="left"/>
      <w:spacing w:before="100" w:beforeAutospacing="1" w:after="100" w:afterAutospacing="1"/>
      <w:widowControl/>
    </w:pPr>
    <w:rPr>
      <w:rFonts w:ascii="Arial Unicode MS" w:hAnsi="Arial Unicode MS" w:eastAsia="Times New Roman"/>
      <w:sz w:val="24"/>
    </w:rPr>
  </w:style>
  <w:style w:type="paragraph" w:styleId="962">
    <w:name w:val="Title"/>
    <w:basedOn w:val="925"/>
    <w:link w:val="980"/>
    <w:uiPriority w:val="0"/>
    <w:qFormat/>
    <w:pPr>
      <w:jc w:val="left"/>
      <w:spacing w:before="240" w:after="60" w:line="360" w:lineRule="auto"/>
      <w:outlineLvl w:val="0"/>
    </w:pPr>
    <w:rPr>
      <w:rFonts w:ascii="Arial" w:hAnsi="Arial"/>
      <w:b/>
      <w:bCs/>
      <w:sz w:val="28"/>
      <w:szCs w:val="32"/>
    </w:rPr>
  </w:style>
  <w:style w:type="character" w:styleId="963">
    <w:name w:val="Strong"/>
    <w:uiPriority w:val="0"/>
    <w:qFormat/>
    <w:rPr>
      <w:b/>
      <w:bCs/>
    </w:rPr>
  </w:style>
  <w:style w:type="character" w:styleId="964">
    <w:name w:val="page number"/>
    <w:uiPriority w:val="0"/>
    <w:qFormat/>
  </w:style>
  <w:style w:type="character" w:styleId="965">
    <w:name w:val="FollowedHyperlink"/>
    <w:uiPriority w:val="0"/>
    <w:qFormat/>
    <w:rPr>
      <w:color w:val="800080"/>
      <w:u w:val="single"/>
    </w:rPr>
  </w:style>
  <w:style w:type="character" w:styleId="966">
    <w:name w:val="Emphasis"/>
    <w:uiPriority w:val="20"/>
    <w:qFormat/>
    <w:rPr>
      <w:color w:val="cc0000"/>
    </w:rPr>
  </w:style>
  <w:style w:type="character" w:styleId="967">
    <w:name w:val="Hyperlink"/>
    <w:uiPriority w:val="0"/>
    <w:qFormat/>
    <w:rPr>
      <w:color w:val="0000ff"/>
      <w:u w:val="single"/>
    </w:rPr>
  </w:style>
  <w:style w:type="character" w:styleId="968">
    <w:name w:val="annotation reference"/>
    <w:uiPriority w:val="0"/>
    <w:qFormat/>
    <w:rPr>
      <w:sz w:val="21"/>
      <w:szCs w:val="21"/>
    </w:rPr>
  </w:style>
  <w:style w:type="table" w:styleId="969">
    <w:name w:val="Table Grid"/>
    <w:basedOn w:val="93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970" w:customStyle="1">
    <w:name w:val="段"/>
    <w:basedOn w:val="925"/>
    <w:next w:val="925"/>
    <w:uiPriority w:val="0"/>
    <w:qFormat/>
    <w:pPr>
      <w:ind w:firstLine="425"/>
    </w:pPr>
    <w:rPr>
      <w:rFonts w:ascii="宋体"/>
    </w:rPr>
  </w:style>
  <w:style w:type="character" w:styleId="971" w:customStyle="1">
    <w:name w:val="日期 Char"/>
    <w:link w:val="950"/>
    <w:uiPriority w:val="0"/>
    <w:qFormat/>
    <w:rPr>
      <w:sz w:val="21"/>
    </w:rPr>
  </w:style>
  <w:style w:type="character" w:styleId="972" w:customStyle="1">
    <w:name w:val="正文文本缩进 3 Char"/>
    <w:link w:val="958"/>
    <w:uiPriority w:val="0"/>
    <w:qFormat/>
    <w:rPr>
      <w:sz w:val="24"/>
      <w:szCs w:val="24"/>
    </w:rPr>
  </w:style>
  <w:style w:type="character" w:styleId="973" w:customStyle="1">
    <w:name w:val="正文文本 Char"/>
    <w:link w:val="942"/>
    <w:uiPriority w:val="0"/>
    <w:qFormat/>
    <w:rPr>
      <w:sz w:val="28"/>
      <w:szCs w:val="24"/>
    </w:rPr>
  </w:style>
  <w:style w:type="character" w:styleId="974" w:customStyle="1">
    <w:name w:val="正文文本 3 Char"/>
    <w:link w:val="944"/>
    <w:uiPriority w:val="0"/>
    <w:qFormat/>
    <w:rPr>
      <w:rFonts w:ascii="宋体" w:hAnsi="宋体"/>
      <w:sz w:val="21"/>
      <w:szCs w:val="24"/>
    </w:rPr>
  </w:style>
  <w:style w:type="character" w:styleId="975" w:customStyle="1">
    <w:name w:val="验收-表格内文字 Char"/>
    <w:link w:val="976"/>
    <w:uiPriority w:val="0"/>
    <w:qFormat/>
    <w:rPr>
      <w:sz w:val="21"/>
      <w:szCs w:val="24"/>
    </w:rPr>
  </w:style>
  <w:style w:type="paragraph" w:styleId="976" w:customStyle="1">
    <w:name w:val="验收-表格内文字"/>
    <w:basedOn w:val="925"/>
    <w:link w:val="975"/>
    <w:uiPriority w:val="0"/>
    <w:qFormat/>
    <w:pPr>
      <w:jc w:val="center"/>
      <w:spacing w:line="400" w:lineRule="exact"/>
    </w:pPr>
  </w:style>
  <w:style w:type="character" w:styleId="977" w:customStyle="1">
    <w:name w:val="文档结构图 Char"/>
    <w:link w:val="943"/>
    <w:uiPriority w:val="0"/>
    <w:semiHidden/>
    <w:qFormat/>
    <w:rPr>
      <w:sz w:val="21"/>
      <w:szCs w:val="24"/>
      <w:shd w:val="clear" w:color="auto" w:fill="000080"/>
    </w:rPr>
  </w:style>
  <w:style w:type="character" w:styleId="978" w:customStyle="1">
    <w:name w:val="标准文本 Char Char"/>
    <w:uiPriority w:val="0"/>
    <w:qFormat/>
    <w:rPr>
      <w:rFonts w:cs="宋体"/>
      <w:sz w:val="24"/>
    </w:rPr>
  </w:style>
  <w:style w:type="character" w:styleId="979" w:customStyle="1">
    <w:name w:val="para1"/>
    <w:uiPriority w:val="0"/>
    <w:qFormat/>
    <w:rPr>
      <w:rFonts w:hint="default" w:ascii="Arial" w:hAnsi="Arial" w:cs="Arial"/>
      <w:sz w:val="18"/>
      <w:szCs w:val="18"/>
    </w:rPr>
  </w:style>
  <w:style w:type="character" w:styleId="980" w:customStyle="1">
    <w:name w:val="标题 Char"/>
    <w:link w:val="962"/>
    <w:uiPriority w:val="0"/>
    <w:qFormat/>
    <w:rPr>
      <w:rFonts w:ascii="Arial" w:hAnsi="Arial" w:cs="Arial"/>
      <w:b/>
      <w:bCs/>
      <w:sz w:val="28"/>
      <w:szCs w:val="32"/>
    </w:rPr>
  </w:style>
  <w:style w:type="character" w:styleId="981" w:customStyle="1">
    <w:name w:val="正文文本 2 Char"/>
    <w:link w:val="959"/>
    <w:uiPriority w:val="0"/>
    <w:qFormat/>
    <w:rPr>
      <w:sz w:val="21"/>
      <w:szCs w:val="24"/>
    </w:rPr>
  </w:style>
  <w:style w:type="character" w:styleId="982" w:customStyle="1">
    <w:name w:val="标题 1 Char"/>
    <w:link w:val="926"/>
    <w:uiPriority w:val="0"/>
    <w:qFormat/>
    <w:rPr>
      <w:b/>
      <w:bCs/>
      <w:sz w:val="44"/>
      <w:szCs w:val="44"/>
    </w:rPr>
  </w:style>
  <w:style w:type="character" w:styleId="983" w:customStyle="1">
    <w:name w:val="正文首行缩进 Char"/>
    <w:link w:val="941"/>
    <w:uiPriority w:val="0"/>
    <w:qFormat/>
    <w:rPr>
      <w:sz w:val="21"/>
      <w:szCs w:val="24"/>
    </w:rPr>
  </w:style>
  <w:style w:type="character" w:styleId="984" w:customStyle="1">
    <w:name w:val="lh151"/>
    <w:uiPriority w:val="0"/>
    <w:qFormat/>
    <w:rPr>
      <w:color w:val="666666"/>
    </w:rPr>
  </w:style>
  <w:style w:type="character" w:styleId="985" w:customStyle="1">
    <w:name w:val="标题1"/>
    <w:uiPriority w:val="99"/>
    <w:qFormat/>
    <w:rPr>
      <w:rFonts w:cs="Times New Roman"/>
    </w:rPr>
  </w:style>
  <w:style w:type="character" w:styleId="986" w:customStyle="1">
    <w:name w:val="验收-图表标题 Char"/>
    <w:link w:val="987"/>
    <w:uiPriority w:val="0"/>
    <w:qFormat/>
    <w:rPr>
      <w:rFonts w:ascii="黑体" w:eastAsia="黑体"/>
      <w:sz w:val="21"/>
      <w:szCs w:val="21"/>
    </w:rPr>
  </w:style>
  <w:style w:type="paragraph" w:styleId="987" w:customStyle="1">
    <w:name w:val="验收-图表标题"/>
    <w:basedOn w:val="925"/>
    <w:link w:val="986"/>
    <w:uiPriority w:val="0"/>
    <w:qFormat/>
    <w:pPr>
      <w:jc w:val="center"/>
      <w:spacing w:line="360" w:lineRule="auto"/>
    </w:pPr>
    <w:rPr>
      <w:rFonts w:ascii="黑体" w:eastAsia="黑体"/>
      <w:szCs w:val="21"/>
    </w:rPr>
  </w:style>
  <w:style w:type="character" w:styleId="988" w:customStyle="1">
    <w:name w:val="标题 2 Char"/>
    <w:link w:val="927"/>
    <w:uiPriority w:val="0"/>
    <w:qFormat/>
    <w:rPr>
      <w:rFonts w:ascii="Arial" w:hAnsi="Arial" w:eastAsia="黑体"/>
      <w:b/>
      <w:bCs/>
      <w:sz w:val="32"/>
      <w:szCs w:val="32"/>
    </w:rPr>
  </w:style>
  <w:style w:type="character" w:styleId="989" w:customStyle="1">
    <w:name w:val="标准文本 Char"/>
    <w:link w:val="990"/>
    <w:uiPriority w:val="0"/>
    <w:qFormat/>
    <w:rPr>
      <w:sz w:val="24"/>
    </w:rPr>
  </w:style>
  <w:style w:type="paragraph" w:styleId="990" w:customStyle="1">
    <w:name w:val="标准文本"/>
    <w:basedOn w:val="925"/>
    <w:link w:val="989"/>
    <w:uiPriority w:val="0"/>
    <w:qFormat/>
    <w:pPr>
      <w:ind w:firstLine="480"/>
      <w:spacing w:line="360" w:lineRule="auto"/>
    </w:pPr>
    <w:rPr>
      <w:sz w:val="24"/>
      <w:szCs w:val="20"/>
    </w:rPr>
  </w:style>
  <w:style w:type="character" w:styleId="991" w:customStyle="1">
    <w:name w:val="页眉 Char"/>
    <w:link w:val="955"/>
    <w:uiPriority w:val="99"/>
    <w:qFormat/>
    <w:rPr>
      <w:sz w:val="18"/>
      <w:szCs w:val="18"/>
    </w:rPr>
  </w:style>
  <w:style w:type="character" w:styleId="992" w:customStyle="1">
    <w:name w:val="标题 6 Char"/>
    <w:link w:val="931"/>
    <w:uiPriority w:val="0"/>
    <w:qFormat/>
    <w:rPr>
      <w:rFonts w:ascii="Arial" w:hAnsi="Arial" w:eastAsia="黑体"/>
      <w:b/>
      <w:sz w:val="24"/>
    </w:rPr>
  </w:style>
  <w:style w:type="character" w:styleId="993" w:customStyle="1">
    <w:name w:val="纯文本 Char1"/>
    <w:uiPriority w:val="99"/>
    <w:semiHidden/>
    <w:qFormat/>
    <w:rPr>
      <w:rFonts w:ascii="宋体" w:hAnsi="Courier New" w:cs="Courier New"/>
      <w:sz w:val="21"/>
      <w:szCs w:val="21"/>
    </w:rPr>
  </w:style>
  <w:style w:type="character" w:styleId="994" w:customStyle="1">
    <w:name w:val="批注框文本 Char"/>
    <w:link w:val="952"/>
    <w:uiPriority w:val="0"/>
    <w:semiHidden/>
    <w:qFormat/>
    <w:rPr>
      <w:sz w:val="18"/>
      <w:szCs w:val="18"/>
    </w:rPr>
  </w:style>
  <w:style w:type="character" w:styleId="995" w:customStyle="1">
    <w:name w:val="+正文 Char3"/>
    <w:link w:val="996"/>
    <w:uiPriority w:val="0"/>
    <w:qFormat/>
    <w:rPr>
      <w:sz w:val="28"/>
    </w:rPr>
  </w:style>
  <w:style w:type="paragraph" w:styleId="996" w:customStyle="1">
    <w:name w:val="+正文"/>
    <w:basedOn w:val="925"/>
    <w:link w:val="995"/>
    <w:uiPriority w:val="0"/>
    <w:qFormat/>
    <w:pPr>
      <w:ind w:firstLine="200"/>
      <w:spacing w:line="360" w:lineRule="auto"/>
    </w:pPr>
    <w:rPr>
      <w:sz w:val="28"/>
      <w:szCs w:val="20"/>
    </w:rPr>
  </w:style>
  <w:style w:type="character" w:styleId="997" w:customStyle="1">
    <w:name w:val="标题 9 Char"/>
    <w:link w:val="934"/>
    <w:uiPriority w:val="0"/>
    <w:qFormat/>
    <w:rPr>
      <w:rFonts w:ascii="Arial" w:hAnsi="Arial" w:eastAsia="黑体"/>
      <w:sz w:val="21"/>
    </w:rPr>
  </w:style>
  <w:style w:type="character" w:styleId="998" w:customStyle="1">
    <w:name w:val="标题 3 Char"/>
    <w:link w:val="928"/>
    <w:uiPriority w:val="0"/>
    <w:qFormat/>
    <w:rPr>
      <w:b/>
      <w:bCs/>
      <w:sz w:val="32"/>
      <w:szCs w:val="32"/>
    </w:rPr>
  </w:style>
  <w:style w:type="character" w:styleId="999" w:customStyle="1">
    <w:name w:val="正文文本缩进 2 Char"/>
    <w:link w:val="951"/>
    <w:uiPriority w:val="0"/>
    <w:qFormat/>
    <w:rPr>
      <w:rFonts w:ascii="宋体" w:hAnsi="宋体"/>
      <w:sz w:val="21"/>
      <w:szCs w:val="24"/>
    </w:rPr>
  </w:style>
  <w:style w:type="character" w:styleId="1000" w:customStyle="1">
    <w:name w:val="标题 4 Char"/>
    <w:link w:val="929"/>
    <w:uiPriority w:val="0"/>
    <w:qFormat/>
    <w:rPr>
      <w:rFonts w:ascii="Cambria" w:hAnsi="Cambria" w:eastAsia="宋体"/>
      <w:b/>
      <w:bCs/>
      <w:sz w:val="28"/>
      <w:szCs w:val="28"/>
      <w:lang w:val="en-US" w:eastAsia="zh-CN" w:bidi="ar-SA"/>
    </w:rPr>
  </w:style>
  <w:style w:type="character" w:styleId="1001" w:customStyle="1">
    <w:name w:val="列出段落 Char"/>
    <w:link w:val="1002"/>
    <w:uiPriority w:val="34"/>
    <w:qFormat/>
    <w:rPr>
      <w:rFonts w:ascii="Calibri" w:hAnsi="Calibri"/>
      <w:sz w:val="21"/>
      <w:szCs w:val="22"/>
    </w:rPr>
  </w:style>
  <w:style w:type="paragraph" w:styleId="1002">
    <w:name w:val="List Paragraph"/>
    <w:basedOn w:val="925"/>
    <w:link w:val="1001"/>
    <w:uiPriority w:val="34"/>
    <w:qFormat/>
    <w:pPr>
      <w:ind w:firstLine="420"/>
    </w:pPr>
    <w:rPr>
      <w:rFonts w:ascii="Calibri" w:hAnsi="Calibri"/>
      <w:szCs w:val="22"/>
    </w:rPr>
  </w:style>
  <w:style w:type="character" w:styleId="1003" w:customStyle="1">
    <w:name w:val="页脚 Char"/>
    <w:link w:val="953"/>
    <w:uiPriority w:val="99"/>
    <w:qFormat/>
    <w:rPr>
      <w:sz w:val="18"/>
      <w:szCs w:val="18"/>
    </w:rPr>
  </w:style>
  <w:style w:type="character" w:styleId="1004" w:customStyle="1">
    <w:name w:val="正文缩进 Char"/>
    <w:link w:val="937"/>
    <w:uiPriority w:val="0"/>
    <w:qFormat/>
    <w:rPr>
      <w:rFonts w:eastAsia="楷体_GB2312"/>
      <w:sz w:val="24"/>
      <w:lang w:val="en-US" w:eastAsia="zh-CN" w:bidi="ar-SA"/>
    </w:rPr>
  </w:style>
  <w:style w:type="character" w:styleId="1005" w:customStyle="1">
    <w:name w:val="title_emph1"/>
    <w:uiPriority w:val="0"/>
    <w:qFormat/>
    <w:rPr>
      <w:rFonts w:hint="default" w:ascii="Arial" w:hAnsi="Arial" w:cs="Arial"/>
      <w:b/>
      <w:bCs/>
      <w:sz w:val="20"/>
      <w:szCs w:val="20"/>
    </w:rPr>
  </w:style>
  <w:style w:type="character" w:styleId="1006" w:customStyle="1">
    <w:name w:val="正文文本缩进 Char"/>
    <w:link w:val="945"/>
    <w:uiPriority w:val="0"/>
    <w:qFormat/>
    <w:rPr>
      <w:sz w:val="28"/>
      <w:szCs w:val="24"/>
    </w:rPr>
  </w:style>
  <w:style w:type="character" w:styleId="1007" w:customStyle="1">
    <w:name w:val="标题 7 Char"/>
    <w:link w:val="932"/>
    <w:uiPriority w:val="0"/>
    <w:qFormat/>
    <w:rPr>
      <w:b/>
      <w:sz w:val="24"/>
    </w:rPr>
  </w:style>
  <w:style w:type="character" w:styleId="1008" w:customStyle="1">
    <w:name w:val="Char Char8"/>
    <w:uiPriority w:val="0"/>
    <w:qFormat/>
    <w:rPr>
      <w:rFonts w:eastAsia="宋体"/>
      <w:sz w:val="24"/>
      <w:szCs w:val="24"/>
      <w:lang w:val="en-US" w:eastAsia="zh-CN" w:bidi="ar-SA"/>
    </w:rPr>
  </w:style>
  <w:style w:type="character" w:styleId="1009" w:customStyle="1">
    <w:name w:val="p141"/>
    <w:uiPriority w:val="0"/>
    <w:qFormat/>
    <w:rPr>
      <w:color w:val="000000"/>
      <w:sz w:val="28"/>
      <w:szCs w:val="28"/>
      <w:u w:val="none"/>
    </w:rPr>
  </w:style>
  <w:style w:type="character" w:styleId="1010" w:customStyle="1">
    <w:name w:val="标题 5 Char"/>
    <w:link w:val="930"/>
    <w:uiPriority w:val="0"/>
    <w:qFormat/>
    <w:rPr>
      <w:rFonts w:ascii="Calibri" w:hAnsi="Calibri" w:eastAsia="宋体"/>
      <w:b/>
      <w:bCs/>
      <w:sz w:val="28"/>
      <w:szCs w:val="28"/>
      <w:lang w:val="en-US" w:eastAsia="zh-CN" w:bidi="ar-SA"/>
    </w:rPr>
  </w:style>
  <w:style w:type="character" w:styleId="1011" w:customStyle="1">
    <w:name w:val="标题 8 Char"/>
    <w:link w:val="933"/>
    <w:uiPriority w:val="0"/>
    <w:qFormat/>
    <w:rPr>
      <w:rFonts w:ascii="Arial" w:hAnsi="Arial" w:eastAsia="黑体"/>
      <w:sz w:val="24"/>
    </w:rPr>
  </w:style>
  <w:style w:type="character" w:styleId="1012" w:customStyle="1">
    <w:name w:val="批注主题 Char"/>
    <w:link w:val="939"/>
    <w:uiPriority w:val="0"/>
    <w:semiHidden/>
    <w:qFormat/>
    <w:rPr>
      <w:b/>
      <w:bCs/>
      <w:sz w:val="21"/>
      <w:szCs w:val="24"/>
    </w:rPr>
  </w:style>
  <w:style w:type="character" w:styleId="1013" w:customStyle="1">
    <w:name w:val="批注文字 Char"/>
    <w:link w:val="940"/>
    <w:uiPriority w:val="0"/>
    <w:qFormat/>
    <w:rPr>
      <w:sz w:val="21"/>
      <w:szCs w:val="24"/>
    </w:rPr>
  </w:style>
  <w:style w:type="character" w:styleId="1014" w:customStyle="1">
    <w:name w:val="纯文本 Char"/>
    <w:link w:val="949"/>
    <w:uiPriority w:val="0"/>
    <w:qFormat/>
    <w:rPr>
      <w:rFonts w:ascii="宋体" w:hAnsi="Courier New" w:eastAsia="楷体_GB2312"/>
      <w:sz w:val="28"/>
      <w:lang w:val="en-US" w:eastAsia="zh-CN" w:bidi="ar-SA"/>
    </w:rPr>
  </w:style>
  <w:style w:type="character" w:styleId="1015" w:customStyle="1">
    <w:name w:val="Char Char"/>
    <w:uiPriority w:val="0"/>
    <w:qFormat/>
    <w:rPr>
      <w:rFonts w:eastAsia="楷体_GB2312"/>
      <w:sz w:val="24"/>
      <w:lang w:val="en-US" w:eastAsia="zh-CN" w:bidi="ar-SA"/>
    </w:rPr>
  </w:style>
  <w:style w:type="character" w:styleId="1016" w:customStyle="1">
    <w:name w:val="标题四 Char1"/>
    <w:uiPriority w:val="0"/>
    <w:qFormat/>
    <w:rPr>
      <w:rFonts w:eastAsia="楷体_GB2312"/>
      <w:sz w:val="24"/>
    </w:rPr>
  </w:style>
  <w:style w:type="paragraph" w:styleId="1017" w:customStyle="1">
    <w:name w:val="正文文本缩进 21"/>
    <w:basedOn w:val="925"/>
    <w:uiPriority w:val="0"/>
    <w:qFormat/>
    <w:pPr>
      <w:ind w:left="420"/>
      <w:spacing w:after="120" w:line="480" w:lineRule="auto"/>
    </w:pPr>
    <w:rPr>
      <w:szCs w:val="20"/>
    </w:rPr>
  </w:style>
  <w:style w:type="paragraph" w:styleId="1018" w:customStyle="1">
    <w:name w:val="首行缩进"/>
    <w:basedOn w:val="925"/>
    <w:uiPriority w:val="0"/>
    <w:qFormat/>
    <w:pPr>
      <w:ind w:firstLine="480"/>
      <w:jc w:val="left"/>
      <w:spacing w:line="360" w:lineRule="auto"/>
    </w:pPr>
    <w:rPr>
      <w:rFonts w:ascii="宋体" w:hAnsi="宋体"/>
      <w:sz w:val="24"/>
    </w:rPr>
  </w:style>
  <w:style w:type="paragraph" w:styleId="1019" w:customStyle="1">
    <w:name w:val="正文段"/>
    <w:basedOn w:val="925"/>
    <w:uiPriority w:val="0"/>
    <w:qFormat/>
    <w:pPr>
      <w:ind w:firstLine="454"/>
      <w:spacing w:after="240" w:line="240" w:lineRule="atLeast"/>
      <w:widowControl/>
    </w:pPr>
    <w:rPr>
      <w:rFonts w:ascii="宋体"/>
      <w:sz w:val="24"/>
      <w:szCs w:val="20"/>
    </w:rPr>
  </w:style>
  <w:style w:type="paragraph" w:styleId="1020" w:customStyle="1">
    <w:name w:val="默认段落字体 Para Char Char Char Char Char Char Char"/>
    <w:basedOn w:val="925"/>
    <w:uiPriority w:val="0"/>
    <w:qFormat/>
    <w:pPr>
      <w:spacing w:line="360" w:lineRule="auto"/>
    </w:pPr>
    <w:rPr>
      <w:rFonts w:ascii="Tahoma" w:hAnsi="Tahoma"/>
      <w:sz w:val="24"/>
      <w:szCs w:val="20"/>
    </w:rPr>
  </w:style>
  <w:style w:type="paragraph" w:styleId="1021" w:customStyle="1">
    <w:name w:val="杨昂超式样黑体主"/>
    <w:basedOn w:val="925"/>
    <w:uiPriority w:val="0"/>
    <w:qFormat/>
    <w:pPr>
      <w:spacing w:line="400" w:lineRule="exact"/>
    </w:pPr>
    <w:rPr>
      <w:rFonts w:ascii="方正黑体简体" w:eastAsia="方正黑体简体"/>
      <w:sz w:val="24"/>
    </w:rPr>
  </w:style>
  <w:style w:type="paragraph" w:styleId="1022" w:customStyle="1">
    <w:name w:val="Char Char1"/>
    <w:basedOn w:val="925"/>
    <w:uiPriority w:val="0"/>
    <w:qFormat/>
    <w:pPr>
      <w:jc w:val="left"/>
      <w:spacing w:after="160" w:line="240" w:lineRule="exact"/>
      <w:widowControl/>
    </w:pPr>
    <w:rPr>
      <w:rFonts w:ascii="Verdana" w:hAnsi="Verdana"/>
      <w:sz w:val="20"/>
      <w:szCs w:val="20"/>
      <w:lang w:eastAsia="en-US"/>
    </w:rPr>
  </w:style>
  <w:style w:type="paragraph" w:styleId="1023" w:customStyle="1">
    <w:name w:val="正文文本缩进1"/>
    <w:basedOn w:val="925"/>
    <w:uiPriority w:val="0"/>
    <w:qFormat/>
    <w:pPr>
      <w:ind w:firstLine="420"/>
      <w:spacing w:line="360" w:lineRule="auto"/>
    </w:pPr>
    <w:rPr>
      <w:rFonts w:ascii="宋体" w:hAnsi="宋体"/>
      <w:szCs w:val="20"/>
    </w:rPr>
  </w:style>
  <w:style w:type="paragraph" w:styleId="1024" w:customStyle="1">
    <w:name w:val="编号1"/>
    <w:basedOn w:val="925"/>
    <w:uiPriority w:val="0"/>
    <w:qFormat/>
    <w:pPr>
      <w:numPr>
        <w:ilvl w:val="0"/>
        <w:numId w:val="1"/>
      </w:numPr>
      <w:ind w:right="210"/>
      <w:spacing w:line="400" w:lineRule="exact"/>
    </w:pPr>
    <w:rPr>
      <w:rFonts w:ascii="宋体" w:hAnsi="宋体"/>
      <w:spacing w:val="10"/>
    </w:rPr>
  </w:style>
  <w:style w:type="paragraph" w:styleId="1025" w:customStyle="1">
    <w:name w:val="reader-word-layer"/>
    <w:basedOn w:val="925"/>
    <w:uiPriority w:val="0"/>
    <w:qFormat/>
    <w:pPr>
      <w:jc w:val="left"/>
      <w:spacing w:line="2212" w:lineRule="atLeast"/>
      <w:shd w:val="clear" w:color="auto" w:fill="ffffff"/>
      <w:widowControl/>
    </w:pPr>
    <w:rPr>
      <w:rFonts w:ascii="宋体" w:hAnsi="宋体" w:cs="宋体"/>
      <w:b/>
      <w:bCs/>
      <w:color w:val="606060"/>
      <w:sz w:val="28"/>
      <w:szCs w:val="28"/>
    </w:rPr>
  </w:style>
  <w:style w:type="paragraph" w:styleId="1026" w:customStyle="1">
    <w:name w:val="列出段落2"/>
    <w:basedOn w:val="925"/>
    <w:uiPriority w:val="0"/>
    <w:unhideWhenUsed/>
    <w:qFormat/>
    <w:pPr>
      <w:ind w:firstLine="420"/>
    </w:pPr>
    <w:rPr>
      <w:rFonts w:ascii="Calibri" w:hAnsi="Calibri"/>
      <w:szCs w:val="22"/>
    </w:rPr>
  </w:style>
  <w:style w:type="paragraph" w:styleId="1027" w:customStyle="1">
    <w:name w:val="Char Char Char"/>
    <w:basedOn w:val="925"/>
    <w:uiPriority w:val="0"/>
    <w:qFormat/>
  </w:style>
  <w:style w:type="paragraph" w:styleId="1028" w:customStyle="1">
    <w:name w:val="一级条标题"/>
    <w:basedOn w:val="1029"/>
    <w:next w:val="925"/>
    <w:uiPriority w:val="0"/>
    <w:qFormat/>
    <w:pPr>
      <w:numPr>
        <w:ilvl w:val="3"/>
      </w:numPr>
      <w:ind w:left="0"/>
      <w:outlineLvl w:val="2"/>
    </w:pPr>
  </w:style>
  <w:style w:type="paragraph" w:styleId="1029" w:customStyle="1">
    <w:name w:val="章标题"/>
    <w:next w:val="925"/>
    <w:uiPriority w:val="0"/>
    <w:qFormat/>
    <w:pPr>
      <w:numPr>
        <w:ilvl w:val="2"/>
        <w:numId w:val="2"/>
      </w:numPr>
      <w:ind w:left="360"/>
      <w:jc w:val="both"/>
      <w:spacing w:line="400" w:lineRule="exact"/>
      <w:outlineLvl w:val="1"/>
    </w:pPr>
    <w:rPr>
      <w:rFonts w:ascii="黑体" w:hAnsi="Times New Roman" w:eastAsia="黑体" w:cs="Times New Roman"/>
      <w:sz w:val="24"/>
      <w:lang w:val="en-US" w:eastAsia="zh-CN" w:bidi="ar-SA"/>
    </w:rPr>
  </w:style>
  <w:style w:type="paragraph" w:styleId="1030" w:customStyle="1">
    <w:name w:val="三级条标题"/>
    <w:basedOn w:val="1031"/>
    <w:next w:val="925"/>
    <w:uiPriority w:val="0"/>
    <w:qFormat/>
    <w:pPr>
      <w:numPr>
        <w:ilvl w:val="5"/>
      </w:numPr>
      <w:outlineLvl w:val="4"/>
    </w:pPr>
  </w:style>
  <w:style w:type="paragraph" w:styleId="1031" w:customStyle="1">
    <w:name w:val="二级条标题"/>
    <w:basedOn w:val="1028"/>
    <w:next w:val="925"/>
    <w:uiPriority w:val="0"/>
    <w:qFormat/>
    <w:pPr>
      <w:numPr>
        <w:ilvl w:val="4"/>
      </w:numPr>
      <w:ind w:left="540"/>
      <w:outlineLvl w:val="3"/>
    </w:pPr>
  </w:style>
  <w:style w:type="paragraph" w:styleId="1032" w:customStyle="1">
    <w:name w:val="Char Char1 Char Char Char Char Char Char Char"/>
    <w:basedOn w:val="925"/>
    <w:uiPriority w:val="0"/>
    <w:qFormat/>
    <w:rPr>
      <w:szCs w:val="20"/>
    </w:rPr>
  </w:style>
  <w:style w:type="paragraph" w:styleId="1033" w:customStyle="1">
    <w:name w:val="Char"/>
    <w:basedOn w:val="925"/>
    <w:uiPriority w:val="0"/>
    <w:qFormat/>
    <w:rPr>
      <w:rFonts w:ascii="仿宋_GB2312" w:eastAsia="仿宋_GB2312"/>
      <w:b/>
      <w:sz w:val="32"/>
      <w:szCs w:val="32"/>
    </w:rPr>
  </w:style>
  <w:style w:type="paragraph" w:styleId="1034" w:customStyle="1">
    <w:name w:val="正文首行缩进1"/>
    <w:basedOn w:val="942"/>
    <w:uiPriority w:val="0"/>
    <w:qFormat/>
    <w:pPr>
      <w:ind w:firstLine="420"/>
      <w:spacing w:after="120" w:line="400" w:lineRule="exact"/>
      <w:tabs>
        <w:tab w:val="clear" w:pos="5250" w:leader="none"/>
      </w:tabs>
    </w:pPr>
    <w:rPr>
      <w:sz w:val="21"/>
    </w:rPr>
  </w:style>
  <w:style w:type="paragraph" w:styleId="1035" w:customStyle="1">
    <w:name w:val="Char11"/>
    <w:basedOn w:val="925"/>
    <w:uiPriority w:val="0"/>
    <w:qFormat/>
    <w:pPr>
      <w:ind w:left="-62" w:right="36"/>
      <w:jc w:val="left"/>
      <w:spacing w:after="160" w:line="240" w:lineRule="exact"/>
      <w:widowControl/>
    </w:pPr>
    <w:rPr>
      <w:rFonts w:ascii="Arial" w:hAnsi="Arial" w:eastAsia="Times New Roman"/>
      <w:sz w:val="20"/>
      <w:szCs w:val="20"/>
      <w:lang w:eastAsia="en-US"/>
    </w:rPr>
  </w:style>
  <w:style w:type="paragraph" w:styleId="1036" w:customStyle="1">
    <w:name w:val="List Paragraph1"/>
    <w:basedOn w:val="925"/>
    <w:uiPriority w:val="0"/>
    <w:qFormat/>
    <w:pPr>
      <w:ind w:left="720"/>
      <w:jc w:val="left"/>
      <w:widowControl/>
    </w:pPr>
    <w:rPr>
      <w:rFonts w:ascii="Calibri" w:hAnsi="Calibri"/>
      <w:sz w:val="24"/>
      <w:lang w:eastAsia="en-US"/>
    </w:rPr>
  </w:style>
  <w:style w:type="paragraph" w:styleId="1037" w:customStyle="1">
    <w:name w:val="Default Paragraph Font Para Char"/>
    <w:basedOn w:val="925"/>
    <w:uiPriority w:val="0"/>
    <w:semiHidden/>
    <w:qFormat/>
    <w:pPr>
      <w:jc w:val="left"/>
      <w:spacing w:after="160" w:line="240" w:lineRule="exact"/>
      <w:widowControl/>
    </w:pPr>
    <w:rPr>
      <w:rFonts w:ascii="Verdana" w:hAnsi="Verdana"/>
      <w:sz w:val="20"/>
      <w:szCs w:val="20"/>
      <w:lang w:eastAsia="en-US"/>
    </w:rPr>
  </w:style>
  <w:style w:type="paragraph" w:styleId="1038" w:customStyle="1">
    <w:name w:val="纯文本1"/>
    <w:basedOn w:val="925"/>
    <w:uiPriority w:val="0"/>
    <w:qFormat/>
    <w:pPr>
      <w:spacing w:line="400" w:lineRule="exact"/>
    </w:pPr>
    <w:rPr>
      <w:rFonts w:ascii="宋体" w:hAnsi="Courier New" w:eastAsia="楷体_GB2312"/>
      <w:sz w:val="28"/>
      <w:szCs w:val="20"/>
    </w:rPr>
  </w:style>
  <w:style w:type="paragraph" w:styleId="1039" w:customStyle="1">
    <w:name w:val="列出段落1"/>
    <w:basedOn w:val="925"/>
    <w:uiPriority w:val="34"/>
    <w:qFormat/>
    <w:pPr>
      <w:ind w:firstLine="420"/>
      <w:spacing w:line="400" w:lineRule="exact"/>
    </w:pPr>
    <w:rPr>
      <w:rFonts w:ascii="Calibri" w:hAnsi="Calibri"/>
      <w:szCs w:val="22"/>
    </w:rPr>
  </w:style>
  <w:style w:type="paragraph" w:styleId="1040" w:customStyle="1">
    <w:name w:val="Char1"/>
    <w:basedOn w:val="925"/>
    <w:uiPriority w:val="0"/>
    <w:qFormat/>
    <w:pPr>
      <w:numPr>
        <w:ilvl w:val="0"/>
        <w:numId w:val="2"/>
      </w:numPr>
      <w:jc w:val="left"/>
      <w:spacing w:line="400" w:lineRule="exact"/>
    </w:pPr>
    <w:rPr>
      <w:rFonts w:ascii="仿宋_GB2312" w:eastAsia="仿宋_GB2312"/>
      <w:b/>
      <w:sz w:val="32"/>
      <w:szCs w:val="32"/>
    </w:rPr>
  </w:style>
  <w:style w:type="paragraph" w:styleId="1041" w:customStyle="1">
    <w:name w:val="正文-带编号1)"/>
    <w:basedOn w:val="925"/>
    <w:uiPriority w:val="0"/>
    <w:qFormat/>
    <w:pPr>
      <w:numPr>
        <w:ilvl w:val="0"/>
        <w:numId w:val="3"/>
      </w:numPr>
      <w:spacing w:line="400" w:lineRule="exact"/>
    </w:pPr>
    <w:rPr>
      <w:rFonts w:ascii="Arial" w:hAnsi="Arial"/>
    </w:rPr>
  </w:style>
  <w:style w:type="paragraph" w:styleId="1042" w:customStyle="1">
    <w:name w:val="说明书正文"/>
    <w:basedOn w:val="925"/>
    <w:uiPriority w:val="0"/>
    <w:qFormat/>
    <w:pPr>
      <w:ind w:firstLine="200"/>
      <w:jc w:val="left"/>
      <w:spacing w:line="460" w:lineRule="exact"/>
    </w:pPr>
    <w:rPr>
      <w:rFonts w:cs="宋体"/>
      <w:sz w:val="24"/>
      <w:szCs w:val="20"/>
    </w:rPr>
  </w:style>
  <w:style w:type="paragraph" w:styleId="1043" w:customStyle="1">
    <w:name w:val="_Style 5"/>
    <w:basedOn w:val="925"/>
    <w:uiPriority w:val="0"/>
    <w:qFormat/>
    <w:pPr>
      <w:contextualSpacing/>
      <w:ind w:left="720"/>
      <w:jc w:val="left"/>
      <w:widowControl/>
    </w:pPr>
    <w:rPr>
      <w:rFonts w:ascii="Calibri" w:hAnsi="Calibri"/>
      <w:sz w:val="24"/>
      <w:lang w:eastAsia="en-US"/>
    </w:rPr>
  </w:style>
  <w:style w:type="paragraph" w:styleId="1044" w:customStyle="1">
    <w:name w:val="规范正文"/>
    <w:basedOn w:val="925"/>
    <w:uiPriority w:val="0"/>
    <w:qFormat/>
    <w:pPr>
      <w:ind w:left="480"/>
      <w:spacing w:line="360" w:lineRule="auto"/>
    </w:pPr>
    <w:rPr>
      <w:sz w:val="24"/>
      <w:szCs w:val="20"/>
    </w:rPr>
  </w:style>
  <w:style w:type="paragraph" w:styleId="1045" w:customStyle="1">
    <w:name w:val="Para"/>
    <w:basedOn w:val="925"/>
    <w:uiPriority w:val="0"/>
    <w:qFormat/>
    <w:pPr>
      <w:ind w:firstLine="446"/>
      <w:spacing w:before="120" w:after="120" w:line="288" w:lineRule="auto"/>
      <w:widowControl/>
    </w:pPr>
    <w:rPr>
      <w:rFonts w:ascii="Arial" w:hAnsi="Arial"/>
      <w:sz w:val="20"/>
      <w:szCs w:val="20"/>
      <w:lang w:val="en-GB"/>
    </w:rPr>
  </w:style>
  <w:style w:type="paragraph" w:styleId="1046" w:customStyle="1">
    <w:name w:val="前言、引言标题"/>
    <w:next w:val="925"/>
    <w:uiPriority w:val="0"/>
    <w:qFormat/>
    <w:pPr>
      <w:numPr>
        <w:ilvl w:val="1"/>
        <w:numId w:val="2"/>
      </w:numPr>
      <w:ind w:left="0"/>
      <w:jc w:val="center"/>
      <w:spacing w:before="640" w:after="560" w:line="400" w:lineRule="exact"/>
      <w:shd w:val="clear" w:color="ffffff" w:fill="ffffff"/>
      <w:outlineLvl w:val="0"/>
    </w:pPr>
    <w:rPr>
      <w:rFonts w:ascii="黑体" w:hAnsi="Times New Roman" w:eastAsia="黑体" w:cs="Times New Roman"/>
      <w:sz w:val="32"/>
      <w:lang w:val="en-US" w:eastAsia="zh-CN" w:bidi="ar-SA"/>
    </w:rPr>
  </w:style>
  <w:style w:type="paragraph" w:styleId="1047" w:customStyle="1">
    <w:name w:val="Cell"/>
    <w:basedOn w:val="925"/>
    <w:uiPriority w:val="0"/>
    <w:qFormat/>
    <w:pPr>
      <w:spacing w:line="360" w:lineRule="atLeast"/>
    </w:pPr>
    <w:rPr>
      <w:rFonts w:ascii="Times" w:hAnsi="Times" w:eastAsia="PMingLiU"/>
      <w:color w:val="000000"/>
      <w:sz w:val="24"/>
      <w:szCs w:val="20"/>
      <w:lang w:eastAsia="en-US"/>
    </w:rPr>
  </w:style>
  <w:style w:type="paragraph" w:styleId="1048" w:customStyle="1">
    <w:name w:val="正文缩进1"/>
    <w:basedOn w:val="925"/>
    <w:uiPriority w:val="0"/>
    <w:qFormat/>
    <w:pPr>
      <w:ind w:firstLine="420"/>
      <w:jc w:val="left"/>
      <w:spacing w:line="400" w:lineRule="exact"/>
    </w:pPr>
    <w:rPr>
      <w:rFonts w:eastAsia="楷体_GB2312"/>
      <w:sz w:val="24"/>
      <w:szCs w:val="20"/>
    </w:rPr>
  </w:style>
  <w:style w:type="paragraph" w:styleId="1049" w:customStyle="1">
    <w:name w:val="样式 首行缩进:  2 字符"/>
    <w:basedOn w:val="925"/>
    <w:uiPriority w:val="0"/>
    <w:qFormat/>
    <w:pPr>
      <w:ind w:firstLine="480"/>
      <w:spacing w:line="480" w:lineRule="exact"/>
    </w:pPr>
    <w:rPr>
      <w:rFonts w:ascii="宋体" w:hAnsi="宋体" w:cs="宋体"/>
      <w:sz w:val="24"/>
      <w:szCs w:val="20"/>
    </w:rPr>
  </w:style>
  <w:style w:type="paragraph" w:styleId="1050" w:customStyle="1">
    <w:name w:val="四级条标题"/>
    <w:basedOn w:val="1030"/>
    <w:next w:val="925"/>
    <w:uiPriority w:val="0"/>
    <w:qFormat/>
    <w:pPr>
      <w:numPr>
        <w:ilvl w:val="6"/>
      </w:numPr>
      <w:outlineLvl w:val="5"/>
    </w:pPr>
  </w:style>
  <w:style w:type="paragraph" w:styleId="1051"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52" w:customStyle="1">
    <w:name w:val="afont"/>
    <w:basedOn w:val="925"/>
    <w:uiPriority w:val="0"/>
    <w:qFormat/>
    <w:pPr>
      <w:jc w:val="left"/>
      <w:spacing w:before="100" w:after="100" w:line="285" w:lineRule="atLeast"/>
      <w:widowControl/>
    </w:pPr>
    <w:rPr>
      <w:rFonts w:ascii="宋体" w:hAnsi="宋体"/>
      <w:sz w:val="18"/>
      <w:szCs w:val="20"/>
    </w:rPr>
  </w:style>
  <w:style w:type="paragraph" w:styleId="1053" w:customStyle="1">
    <w:name w:val="p0"/>
    <w:basedOn w:val="925"/>
    <w:uiPriority w:val="0"/>
    <w:qFormat/>
    <w:pPr>
      <w:widowControl/>
    </w:pPr>
    <w:rPr>
      <w:sz w:val="26"/>
      <w:szCs w:val="26"/>
    </w:rPr>
  </w:style>
  <w:style w:type="paragraph" w:styleId="1054"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1055" w:customStyle="1">
    <w:name w:val="纯文本2"/>
    <w:basedOn w:val="925"/>
    <w:uiPriority w:val="0"/>
    <w:qFormat/>
    <w:rPr>
      <w:rFonts w:ascii="宋体" w:hAnsi="Courier New" w:eastAsia="楷体_GB2312"/>
      <w:sz w:val="28"/>
      <w:szCs w:val="20"/>
    </w:rPr>
  </w:style>
  <w:style w:type="paragraph" w:styleId="1056" w:customStyle="1">
    <w:name w:val="样式 中软正文 + 首行缩进:  2 字符"/>
    <w:basedOn w:val="925"/>
    <w:uiPriority w:val="0"/>
    <w:qFormat/>
    <w:pPr>
      <w:ind w:firstLine="420"/>
      <w:jc w:val="left"/>
      <w:spacing w:after="120" w:line="440" w:lineRule="exact"/>
      <w:widowControl/>
    </w:pPr>
    <w:rPr>
      <w:rFonts w:ascii="Arial" w:hAnsi="Arial"/>
      <w:sz w:val="24"/>
      <w:szCs w:val="20"/>
    </w:rPr>
  </w:style>
  <w:style w:type="paragraph" w:styleId="1057" w:customStyle="1">
    <w:name w:val="Char Char Char1"/>
    <w:basedOn w:val="925"/>
    <w:uiPriority w:val="0"/>
    <w:qFormat/>
    <w:rPr>
      <w:rFonts w:ascii="Tahoma" w:hAnsi="Tahoma"/>
      <w:sz w:val="24"/>
      <w:szCs w:val="20"/>
    </w:rPr>
  </w:style>
  <w:style w:type="paragraph" w:styleId="1058"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table" w:styleId="1059" w:customStyle="1">
    <w:name w:val="网格型4"/>
    <w:basedOn w:val="936"/>
    <w:uiPriority w:val="59"/>
    <w:qFormat/>
    <w:rPr>
      <w:rFonts w:ascii="Cambria" w:hAnsi="Cambria"/>
      <w:sz w:val="24"/>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60" w:customStyle="1">
    <w:name w:val="网格型3"/>
    <w:basedOn w:val="936"/>
    <w:uiPriority w:val="59"/>
    <w:qFormat/>
    <w:rPr>
      <w:rFonts w:ascii="Cambria" w:hAnsi="Cambria"/>
      <w:sz w:val="24"/>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61" w:customStyle="1">
    <w:name w:val="网格型2"/>
    <w:basedOn w:val="936"/>
    <w:uiPriority w:val="59"/>
    <w:qFormat/>
    <w:rPr>
      <w:rFonts w:ascii="Cambria" w:hAnsi="Cambria"/>
      <w:sz w:val="24"/>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62" w:customStyle="1">
    <w:name w:val="网格型1"/>
    <w:basedOn w:val="936"/>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1063" w:customStyle="1">
    <w:name w:val="_Style 3"/>
    <w:next w:val="958"/>
    <w:uiPriority w:val="99"/>
    <w:qFormat/>
    <w:pPr>
      <w:jc w:val="both"/>
      <w:widowControl w:val="off"/>
    </w:pPr>
    <w:rPr>
      <w:rFonts w:ascii="Times New Roman" w:hAnsi="Times New Roman" w:eastAsia="宋体" w:cs="Times New Roman"/>
      <w:sz w:val="21"/>
      <w:szCs w:val="22"/>
      <w:lang w:val="en-US" w:eastAsia="zh-CN" w:bidi="ar-SA"/>
    </w:rPr>
  </w:style>
  <w:style w:type="character" w:styleId="1064" w:customStyle="1">
    <w:name w:val="未处理的提及1"/>
    <w:basedOn w:val="935"/>
    <w:uiPriority w:val="99"/>
    <w:semiHidden/>
    <w:unhideWhenUsed/>
    <w:qFormat/>
    <w:rPr>
      <w:color w:val="605e5c"/>
      <w:shd w:val="clear" w:color="auto" w:fill="e1dfdd"/>
    </w:rPr>
  </w:style>
  <w:style w:type="paragraph" w:styleId="1065" w:customStyle="1">
    <w:name w:val="正文11"/>
    <w:basedOn w:val="925"/>
    <w:next w:val="925"/>
    <w:uiPriority w:val="0"/>
    <w:qFormat/>
    <w:pPr>
      <w:spacing w:line="340" w:lineRule="exact"/>
      <w:widowControl/>
    </w:pPr>
    <w:rPr>
      <w:rFonts w:ascii="Calibri" w:hAnsi="Calibri" w:eastAsia="黑体"/>
      <w:b/>
      <w:sz w:val="25"/>
    </w:rPr>
  </w:style>
  <w:style w:type="paragraph" w:styleId="1066" w:customStyle="1">
    <w:name w:val="列表段落1"/>
    <w:basedOn w:val="925"/>
    <w:uiPriority w:val="34"/>
    <w:qFormat/>
    <w:pPr>
      <w:ind w:firstLine="420"/>
    </w:pPr>
    <w:rPr>
      <w:rFonts w:ascii="Calibri" w:hAnsi="Calibri"/>
    </w:rPr>
  </w:style>
  <w:style w:type="paragraph" w:styleId="1067" w:customStyle="1">
    <w:name w:val="Table Text"/>
    <w:basedOn w:val="925"/>
    <w:uiPriority w:val="0"/>
    <w:semiHidden/>
    <w:qFormat/>
    <w:rPr>
      <w:rFonts w:ascii="宋体" w:hAnsi="宋体" w:eastAsia="宋体" w:cs="宋体"/>
      <w:sz w:val="19"/>
      <w:szCs w:val="19"/>
      <w:lang w:eastAsia="en-US"/>
    </w:r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8EBD97-E9F8-47ED-9631-69C7AE30E9F7}"/>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苏州市原鑫招投标咨询服务有限公司</dc:creator>
  <cp:lastModifiedBy>金健</cp:lastModifiedBy>
  <cp:revision>18</cp:revision>
  <dcterms:created xsi:type="dcterms:W3CDTF">2024-04-18T07:07:00Z</dcterms:created>
  <dcterms:modified xsi:type="dcterms:W3CDTF">2025-12-15T05:33:46Z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C8C9D8FB0E8545DE915209C9C0DEF809_13</vt:lpwstr>
  </property>
  <property fmtid="{D5CDD505-2E9C-101B-9397-08002B2CF9AE}" pid="4" name="KSOTemplateDocerSaveRecord">
    <vt:lpwstr>eyJoZGlkIjoiNmQ3MWM4ODFlMGQ2MmJkMTFlMTU1NjI3OWMyMTQyNGYiLCJ1c2VySWQiOiI5MDU4NjI0ODkifQ==</vt:lpwstr>
  </property>
</Properties>
</file>